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89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罪犯颜家福，男，</w:t>
      </w:r>
      <w:r>
        <w:rPr>
          <w:rFonts w:eastAsia="仿宋_GB2312" w:ascii="仿宋_GB2312" w:hAnsi="仿宋_GB2312"/>
          <w:sz w:val="32"/>
          <w:szCs w:val="32"/>
        </w:rPr>
        <w:t>1992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日生，苗族，小学文化贵州省贵定县人，现在贵州省黔南监狱服刑。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日，贵州省贵定县人民法院作出（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2723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251</w:t>
      </w:r>
      <w:r>
        <w:rPr>
          <w:rFonts w:ascii="仿宋_GB2312" w:hAnsi="仿宋_GB2312" w:eastAsia="仿宋_GB2312"/>
          <w:sz w:val="32"/>
          <w:szCs w:val="32"/>
        </w:rPr>
        <w:t>号刑事判决，认定颜家福犯交通肇事罪，判处有期徒刑三年（刑期自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日从贵州省北斗山监狱调入贵州省桐州监狱（贵州省黔南监狱）服刑。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一、认罪悔罪方面：罪犯颜家福在服刑期间，能服从法院判决，认罪悔罪。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二、遵守法律法规及监规方面：罪犯颜家福在服刑期间，因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日，与罪犯潘建坤发生推搡行为被扣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分，后经过监区民警的批评教育能认识到自己的错误并改正，基本遵守法律法规及监规纪律，服从管教。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四、劳动改造方面：现从事注塑机岗位，能积极参加劳动，按时完成劳动任务，表现好。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日，罪犯严家福与罪犯潘建坤发生推搡行为被扣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颜家福符合提请减刑条件，但提请减刑建议幅度不当，理由是：罪犯颜家福犯交通肇事罪，犯罪性质严重，社会危害性高，且服刑期间有违规被扣分现象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综上所述，罪犯颜家福在服刑改造期间，能认真遵守监规，接受教育改造，确有悔改表现。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颜家福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