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罪犯金梁，男，</w:t>
      </w:r>
      <w:r>
        <w:rPr>
          <w:rFonts w:eastAsia="仿宋_GB2312" w:ascii="仿宋_GB2312" w:hAnsi="仿宋_GB2312"/>
          <w:sz w:val="32"/>
          <w:szCs w:val="32"/>
        </w:rPr>
        <w:t>1988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日生，彝族，中专文化贵州省丹寨县人，现在贵州省黔南监狱服刑。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日，贵州省丹寨县人民法院作出（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2636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61</w:t>
      </w:r>
      <w:r>
        <w:rPr>
          <w:rFonts w:ascii="仿宋_GB2312" w:hAnsi="仿宋_GB2312" w:eastAsia="仿宋_GB2312"/>
          <w:sz w:val="32"/>
          <w:szCs w:val="32"/>
        </w:rPr>
        <w:t>号刑事判决，认定金梁犯开设赌场罪，判处有期徒刑四年（刑期自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253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一、认罪悔罪方面：罪犯金梁在服刑期间，能服从法院判决，认罪悔罪。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二、遵守法律法规及监规方面：罪犯金梁在服刑期间，认真遵守法律法规及监规纪律，服从管教。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</w:t>
      </w:r>
      <w:r>
        <w:rPr>
          <w:rFonts w:eastAsia="仿宋_GB2312" w:ascii="仿宋_GB2312" w:hAnsi="仿宋_GB2312"/>
          <w:sz w:val="32"/>
          <w:szCs w:val="32"/>
        </w:rPr>
        <w:t>9600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金梁符合提请减刑条件，但提请减刑建议幅度不当，理由是：罪犯金梁犯开设赌场罪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综上所述，罪犯金梁在服刑改造期间，能认真遵守监规，接受教育改造，确有悔改表现。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金梁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