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罪犯张贵林，男，</w:t>
      </w:r>
      <w:r>
        <w:rPr>
          <w:rFonts w:eastAsia="仿宋_GB2312" w:ascii="仿宋_GB2312" w:hAnsi="仿宋_GB2312"/>
          <w:sz w:val="32"/>
          <w:szCs w:val="32"/>
        </w:rPr>
        <w:t>1967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日生，汉族，小学文化贵州省遵义市汇川区人，现在贵州省黔南监狱服刑。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曾因犯放火罪，于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日被遵义市汇川区人民法院判处有期徒刑三年，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日减刑释放。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日，贵州省遵义市汇川区人民法院作出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201</w:t>
      </w:r>
      <w:r>
        <w:rPr>
          <w:rFonts w:ascii="仿宋_GB2312" w:hAnsi="仿宋_GB2312" w:eastAsia="仿宋_GB2312"/>
          <w:sz w:val="32"/>
          <w:szCs w:val="32"/>
        </w:rPr>
        <w:t>号刑事判决，认定张贵林犯掩饰、隐瞒犯罪所得罪，判处有期徒刑三年（刑期自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3000.00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1000.00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日从贵州省忠庄监狱调入贵州省瓮安监狱（现贵州省黔南监狱）服刑。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一、认罪悔罪方面：罪犯张贵林在服刑期间，能服从法院判决，认罪悔罪。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二、遵守法律法规及监规方面：罪犯张贵林在服刑期间，基本遵守法律法规及监规纪律，服从管教。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四、劳动改造方面：主要从事辅工，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5.3</w:t>
      </w:r>
      <w:r>
        <w:rPr>
          <w:rFonts w:ascii="仿宋_GB2312" w:hAnsi="仿宋_GB2312" w:eastAsia="仿宋_GB2312"/>
          <w:sz w:val="32"/>
          <w:szCs w:val="32"/>
        </w:rPr>
        <w:t>分，经干警批评教育后积极改正，能积极参加劳动，基本完成劳动任务，表现较好。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 未完成劳动定额</w:t>
      </w:r>
      <w:r>
        <w:rPr>
          <w:rFonts w:eastAsia="仿宋_GB2312" w:ascii="仿宋_GB2312" w:hAnsi="仿宋_GB2312"/>
          <w:sz w:val="32"/>
          <w:szCs w:val="32"/>
        </w:rPr>
        <w:t>17.68%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5.30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从严情形：前科。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张贵林符合提请减刑条件，但提请减刑建议幅度不当，理由是：罪犯张贵林犯掩饰、隐瞒犯罪所得罪，有前科，社会危害性高，且该犯服刑期间有劳动欠产被扣分现象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综上所述，罪犯张贵林在服刑改造期间，能认真遵守监规，接受教育改造，确有悔改表现。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贵林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