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贵州省黔南监狱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(2025)</w:t>
      </w:r>
      <w:r>
        <w:rPr>
          <w:rFonts w:ascii="仿宋_GB2312" w:hAnsi="仿宋_GB2312" w:eastAsia="仿宋_GB2312"/>
          <w:sz w:val="32"/>
          <w:szCs w:val="32"/>
        </w:rPr>
        <w:t>黔南提减字第</w:t>
      </w:r>
      <w:r>
        <w:rPr>
          <w:rFonts w:eastAsia="仿宋_GB2312" w:ascii="仿宋_GB2312" w:hAnsi="仿宋_GB2312"/>
          <w:sz w:val="32"/>
          <w:szCs w:val="32"/>
        </w:rPr>
        <w:t>104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罪犯刘定喜，男，</w:t>
      </w:r>
      <w:r>
        <w:rPr>
          <w:rFonts w:eastAsia="仿宋_GB2312" w:ascii="仿宋_GB2312" w:hAnsi="仿宋_GB2312"/>
          <w:sz w:val="32"/>
          <w:szCs w:val="32"/>
        </w:rPr>
        <w:t>1983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日生，汉族，文盲贵州省赫章县人，现在贵州省黔南监狱服刑。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日，贵州省赫章县人民法院作出（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0527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98</w:t>
      </w:r>
      <w:r>
        <w:rPr>
          <w:rFonts w:ascii="仿宋_GB2312" w:hAnsi="仿宋_GB2312" w:eastAsia="仿宋_GB2312"/>
          <w:sz w:val="32"/>
          <w:szCs w:val="32"/>
        </w:rPr>
        <w:t>号刑事判决，认定刘定喜犯故意杀人罪，判处有期徒刑四年（刑期自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2027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日止）。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27</w:t>
      </w:r>
      <w:r>
        <w:rPr>
          <w:rFonts w:ascii="仿宋_GB2312" w:hAnsi="仿宋_GB2312" w:eastAsia="仿宋_GB2312"/>
          <w:sz w:val="32"/>
          <w:szCs w:val="32"/>
        </w:rPr>
        <w:t>日交付执行，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日从贵州省王武监狱调入贵州省瓮安监狱（现黔南监狱）服刑。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一、认罪悔罪方面：罪犯刘定喜在服刑期间，能服从法院判决，认罪悔罪。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二、遵守法律法规及监规方面：罪犯刘定喜在服刑期间，认真遵守法律法规及监规纪律，服从管教。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四、劳动改造方面：该犯工种为机位工，能积极参加劳动，按时完成劳动任务，表现好。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个表扬。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从严情形：故意杀人的犯罪情节及经历。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罪犯刘定喜符合提请减刑条件。未发现提请减刑建议不当，同意将案件交监狱长办公会审核。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综上所述，罪犯刘定喜在服刑改造期间，能认真遵守监规，接受教育改造，确有悔改表现。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刘定喜提请减去有期徒刑八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黔南布依族苗族自治州中级人民法院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23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34</Words>
  <Characters>200</Characters>
  <CharactersWithSpaces>233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2025-08-22T09:14:00Z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