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罪犯周大刚，男，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日生，汉族，小学文化贵州省黄平县人，现在贵州省黔南监狱服刑。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日，贵州省黄平县人民法院作出（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）黄刑初字第</w:t>
      </w:r>
      <w:r>
        <w:rPr>
          <w:rFonts w:eastAsia="仿宋_GB2312" w:ascii="仿宋_GB2312" w:hAnsi="仿宋_GB2312"/>
          <w:sz w:val="32"/>
          <w:szCs w:val="32"/>
        </w:rPr>
        <w:t>33</w:t>
      </w:r>
      <w:r>
        <w:rPr>
          <w:rFonts w:ascii="仿宋_GB2312" w:hAnsi="仿宋_GB2312" w:eastAsia="仿宋_GB2312"/>
          <w:sz w:val="32"/>
          <w:szCs w:val="32"/>
        </w:rPr>
        <w:t>号刑事判决，认定周大刚犯滥伐林本罪，判处有期徒刑四年零十个月，并处罚金人民币参万元整。于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日被假释（假释考验期至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日止）；黔东南州中级人民法院于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日决定对周大刚予以特赦。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日，贵州省镇远县人民法院作出（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2625</w:t>
      </w:r>
      <w:r>
        <w:rPr>
          <w:rFonts w:ascii="仿宋_GB2312" w:hAnsi="仿宋_GB2312" w:eastAsia="仿宋_GB2312"/>
          <w:sz w:val="32"/>
          <w:szCs w:val="32"/>
        </w:rPr>
        <w:t>刑初字第</w:t>
      </w:r>
      <w:r>
        <w:rPr>
          <w:rFonts w:eastAsia="仿宋_GB2312" w:ascii="仿宋_GB2312" w:hAnsi="仿宋_GB2312"/>
          <w:sz w:val="32"/>
          <w:szCs w:val="32"/>
        </w:rPr>
        <w:t>41</w:t>
      </w:r>
      <w:r>
        <w:rPr>
          <w:rFonts w:ascii="仿宋_GB2312" w:hAnsi="仿宋_GB2312" w:eastAsia="仿宋_GB2312"/>
          <w:sz w:val="32"/>
          <w:szCs w:val="32"/>
        </w:rPr>
        <w:t>号刑事判决，认定周大刚犯滥伐林木罪，判处有期徒刑三年二个月，并处罚金人民币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元；撤销假释，与前罪没有执行完的刑罚有期徒刑一年十个月十五日并罚，决定执行有期徒刑四年六个月（刑期自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日止）， 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元，继续追缴违法所得人民币</w:t>
      </w:r>
      <w:r>
        <w:rPr>
          <w:rFonts w:eastAsia="仿宋_GB2312" w:ascii="仿宋_GB2312" w:hAnsi="仿宋_GB2312"/>
          <w:sz w:val="32"/>
          <w:szCs w:val="32"/>
        </w:rPr>
        <w:t>15000.00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日交付贵州省瓮安监狱（现贵州省黔南监狱）执行。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一、认罪悔罪方面：罪犯周大刚在服刑期间，能服从法院判决，认罪悔罪。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二、遵守法律法规及监规方面：罪犯周大刚在服刑期间，基本遵守法律法规及监规纪律，服从管教。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月不予奖励；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日，收到贵州省司法厅关于瓮安监狱的视频督察通报：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日下午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36</w:t>
      </w:r>
      <w:r>
        <w:rPr>
          <w:rFonts w:ascii="仿宋_GB2312" w:hAnsi="仿宋_GB2312" w:eastAsia="仿宋_GB2312"/>
          <w:sz w:val="32"/>
          <w:szCs w:val="32"/>
        </w:rPr>
        <w:t>分左右，罪犯熊银进、周大刚、王潮三人在车间辅料区聊天。扣分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从严情形：财产性判项未履行；累犯；假释考验期内再犯罪。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罪犯周大刚符合提请减刑条件。未发现提请减刑建议不当，同意将案件交监狱长办公会审核。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综上所述，罪犯周大刚在服刑改造期间，能认真遵守监规，接受教育改造，确有悔改表现。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大刚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