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118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罪犯黄其东，男，</w:t>
      </w:r>
      <w:r>
        <w:rPr>
          <w:rFonts w:eastAsia="仿宋_GB2312" w:ascii="仿宋_GB2312" w:hAnsi="仿宋_GB2312"/>
          <w:sz w:val="32"/>
          <w:szCs w:val="32"/>
        </w:rPr>
        <w:t>1985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日生，汉族，初中文化贵州省三穗县人，现在贵州省黔南监狱服刑。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日，贵州省锦屏县人民法院作出（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2628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128</w:t>
      </w:r>
      <w:r>
        <w:rPr>
          <w:rFonts w:ascii="仿宋_GB2312" w:hAnsi="仿宋_GB2312" w:eastAsia="仿宋_GB2312"/>
          <w:sz w:val="32"/>
          <w:szCs w:val="32"/>
        </w:rPr>
        <w:t>号刑事判决，认定黄其东犯盗窃罪，判处有期徒刑四年（刑期自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 xml:space="preserve">元，责令被告人黄其东退赔黎平县德凤镇“良瑜湖畔一号”工地被害人重庆群洲实业有限公司电缆线损失 </w:t>
      </w:r>
      <w:r>
        <w:rPr>
          <w:rFonts w:eastAsia="仿宋_GB2312" w:ascii="仿宋_GB2312" w:hAnsi="仿宋_GB2312"/>
          <w:sz w:val="32"/>
          <w:szCs w:val="32"/>
        </w:rPr>
        <w:t xml:space="preserve">2592 </w:t>
      </w:r>
      <w:r>
        <w:rPr>
          <w:rFonts w:ascii="仿宋_GB2312" w:hAnsi="仿宋_GB2312" w:eastAsia="仿宋_GB2312"/>
          <w:sz w:val="32"/>
          <w:szCs w:val="32"/>
        </w:rPr>
        <w:t xml:space="preserve">元；退赔黎平县德凤镇“未来城”工地被害人浙江宏枫建设工程有限公司电缆线损失 </w:t>
      </w:r>
      <w:r>
        <w:rPr>
          <w:rFonts w:eastAsia="仿宋_GB2312" w:ascii="仿宋_GB2312" w:hAnsi="仿宋_GB2312"/>
          <w:sz w:val="32"/>
          <w:szCs w:val="32"/>
        </w:rPr>
        <w:t xml:space="preserve">6336 </w:t>
      </w:r>
      <w:r>
        <w:rPr>
          <w:rFonts w:ascii="仿宋_GB2312" w:hAnsi="仿宋_GB2312" w:eastAsia="仿宋_GB2312"/>
          <w:sz w:val="32"/>
          <w:szCs w:val="32"/>
        </w:rPr>
        <w:t xml:space="preserve">元；退赔锦屏县三江镇“半山首府”工地被害人程兆位电缆线损失 </w:t>
      </w:r>
      <w:r>
        <w:rPr>
          <w:rFonts w:eastAsia="仿宋_GB2312" w:ascii="仿宋_GB2312" w:hAnsi="仿宋_GB2312"/>
          <w:sz w:val="32"/>
          <w:szCs w:val="32"/>
        </w:rPr>
        <w:t xml:space="preserve">6051 </w:t>
      </w:r>
      <w:r>
        <w:rPr>
          <w:rFonts w:ascii="仿宋_GB2312" w:hAnsi="仿宋_GB2312" w:eastAsia="仿宋_GB2312"/>
          <w:sz w:val="32"/>
          <w:szCs w:val="32"/>
        </w:rPr>
        <w:t xml:space="preserve">元；退赔锦屏县三江镇“三江明珠”工地被害人卢有量电缆线损失 </w:t>
      </w:r>
      <w:r>
        <w:rPr>
          <w:rFonts w:eastAsia="仿宋_GB2312" w:ascii="仿宋_GB2312" w:hAnsi="仿宋_GB2312"/>
          <w:sz w:val="32"/>
          <w:szCs w:val="32"/>
        </w:rPr>
        <w:t xml:space="preserve">6406 </w:t>
      </w:r>
      <w:r>
        <w:rPr>
          <w:rFonts w:ascii="仿宋_GB2312" w:hAnsi="仿宋_GB2312" w:eastAsia="仿宋_GB2312"/>
          <w:sz w:val="32"/>
          <w:szCs w:val="32"/>
        </w:rPr>
        <w:t xml:space="preserve">元；退赔锦屏县三江镇“金科学府”工地被害人贵州中洁建设工程有限公司电缆线损失 </w:t>
      </w:r>
      <w:r>
        <w:rPr>
          <w:rFonts w:eastAsia="仿宋_GB2312" w:ascii="仿宋_GB2312" w:hAnsi="仿宋_GB2312"/>
          <w:sz w:val="32"/>
          <w:szCs w:val="32"/>
        </w:rPr>
        <w:t>11302</w:t>
      </w:r>
      <w:r>
        <w:rPr>
          <w:rFonts w:ascii="仿宋_GB2312" w:hAnsi="仿宋_GB2312" w:eastAsia="仿宋_GB2312"/>
          <w:sz w:val="32"/>
          <w:szCs w:val="32"/>
        </w:rPr>
        <w:t xml:space="preserve">元、被盗铝材损失 </w:t>
      </w:r>
      <w:r>
        <w:rPr>
          <w:rFonts w:eastAsia="仿宋_GB2312" w:ascii="仿宋_GB2312" w:hAnsi="仿宋_GB2312"/>
          <w:sz w:val="32"/>
          <w:szCs w:val="32"/>
        </w:rPr>
        <w:t xml:space="preserve">8127 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日从贵州省凯里监狱调入贵州省瓮安监狱（现贵州省黔南监狱）服刑。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一、认罪悔罪方面：罪犯黄其东在服刑期间，能服从法院判决，认罪悔罪。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二、遵守法律法规及监规方面：罪犯黄其东在服刑期间，基本遵守法律法规及监规纪律，服从管教。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三、教育改造方面：能接受教育改造，积极参加思想、文化、职业技术教育（该犯在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日，该犯违反教育活动纪律，在课堂上看书，扣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分），经警官教育后，“三课”学习成绩合格。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四、劳动改造方面：该犯工种值星员，能积极参加劳动，基本完成劳动任务（该犯在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04</w:t>
      </w:r>
      <w:r>
        <w:rPr>
          <w:rFonts w:ascii="仿宋_GB2312" w:hAnsi="仿宋_GB2312" w:eastAsia="仿宋_GB2312"/>
          <w:sz w:val="32"/>
          <w:szCs w:val="32"/>
        </w:rPr>
        <w:t>月未完成劳动定额，扣</w:t>
      </w:r>
      <w:r>
        <w:rPr>
          <w:rFonts w:eastAsia="仿宋_GB2312" w:ascii="仿宋_GB2312" w:hAnsi="仿宋_GB2312"/>
          <w:sz w:val="32"/>
          <w:szCs w:val="32"/>
        </w:rPr>
        <w:t>9.72</w:t>
      </w:r>
      <w:r>
        <w:rPr>
          <w:rFonts w:ascii="仿宋_GB2312" w:hAnsi="仿宋_GB2312" w:eastAsia="仿宋_GB2312"/>
          <w:sz w:val="32"/>
          <w:szCs w:val="32"/>
        </w:rPr>
        <w:t>分），经警官教育后，表现较好。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划扣</w:t>
      </w:r>
      <w:r>
        <w:rPr>
          <w:rFonts w:eastAsia="仿宋_GB2312" w:ascii="仿宋_GB2312" w:hAnsi="仿宋_GB2312"/>
          <w:sz w:val="32"/>
          <w:szCs w:val="32"/>
        </w:rPr>
        <w:t>200</w:t>
      </w:r>
      <w:r>
        <w:rPr>
          <w:rFonts w:ascii="仿宋_GB2312" w:hAnsi="仿宋_GB2312" w:eastAsia="仿宋_GB2312"/>
          <w:sz w:val="32"/>
          <w:szCs w:val="32"/>
        </w:rPr>
        <w:t>元）；退赃退赔人民币</w:t>
      </w:r>
      <w:r>
        <w:rPr>
          <w:rFonts w:eastAsia="仿宋_GB2312" w:ascii="仿宋_GB2312" w:hAnsi="仿宋_GB2312"/>
          <w:sz w:val="32"/>
          <w:szCs w:val="32"/>
        </w:rPr>
        <w:t>40814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04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12320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8325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32.42%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9.72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日，教育日，该犯违反教育活动纪律，在课堂上看书扣分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从严情形：财产性判项未履行完毕。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罪犯黄其东符合提请减刑条件。未发现提请减刑建议不当，同意将案件交监狱长办公会审核。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综上所述，罪犯黄其东在服刑改造期间，能认真遵守监规，接受教育改造，确有悔改表现。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黄其东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