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贵州省黔南监狱</w:t>
      </w:r>
    </w:p>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t>(2025)</w:t>
      </w:r>
      <w:r>
        <w:rPr>
          <w:rFonts w:ascii="仿宋_GB2312" w:hAnsi="仿宋_GB2312" w:eastAsia="仿宋_GB2312"/>
          <w:sz w:val="32"/>
          <w:szCs w:val="32"/>
        </w:rPr>
        <w:t>黔南提减字第</w:t>
      </w:r>
      <w:r>
        <w:rPr>
          <w:rFonts w:eastAsia="仿宋_GB2312" w:ascii="仿宋_GB2312" w:hAnsi="仿宋_GB2312"/>
          <w:sz w:val="32"/>
          <w:szCs w:val="32"/>
        </w:rPr>
        <w:t>124</w:t>
      </w:r>
      <w:r>
        <w:rPr>
          <w:rFonts w:ascii="仿宋_GB2312" w:hAnsi="仿宋_GB2312" w:eastAsia="仿宋_GB2312"/>
          <w:sz w:val="32"/>
          <w:szCs w:val="32"/>
        </w:rPr>
        <w:t>号</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罪犯龙兴昌，男，</w:t>
      </w:r>
      <w:r>
        <w:rPr>
          <w:rFonts w:eastAsia="仿宋_GB2312" w:ascii="仿宋_GB2312" w:hAnsi="仿宋_GB2312"/>
          <w:sz w:val="32"/>
          <w:szCs w:val="32"/>
        </w:rPr>
        <w:t>1969</w:t>
      </w:r>
      <w:r>
        <w:rPr>
          <w:rFonts w:ascii="仿宋_GB2312" w:hAnsi="仿宋_GB2312" w:eastAsia="仿宋_GB2312"/>
          <w:sz w:val="32"/>
          <w:szCs w:val="32"/>
        </w:rPr>
        <w:t>年</w:t>
      </w:r>
      <w:r>
        <w:rPr>
          <w:rFonts w:eastAsia="仿宋_GB2312" w:ascii="仿宋_GB2312" w:hAnsi="仿宋_GB2312"/>
          <w:sz w:val="32"/>
          <w:szCs w:val="32"/>
        </w:rPr>
        <w:t>7</w:t>
      </w:r>
      <w:r>
        <w:rPr>
          <w:rFonts w:ascii="仿宋_GB2312" w:hAnsi="仿宋_GB2312" w:eastAsia="仿宋_GB2312"/>
          <w:sz w:val="32"/>
          <w:szCs w:val="32"/>
        </w:rPr>
        <w:t>月</w:t>
      </w:r>
      <w:r>
        <w:rPr>
          <w:rFonts w:eastAsia="仿宋_GB2312" w:ascii="仿宋_GB2312" w:hAnsi="仿宋_GB2312"/>
          <w:sz w:val="32"/>
          <w:szCs w:val="32"/>
        </w:rPr>
        <w:t>28</w:t>
      </w:r>
      <w:r>
        <w:rPr>
          <w:rFonts w:ascii="仿宋_GB2312" w:hAnsi="仿宋_GB2312" w:eastAsia="仿宋_GB2312"/>
          <w:sz w:val="32"/>
          <w:szCs w:val="32"/>
        </w:rPr>
        <w:t>日生，苗族，小学文化贵州省丹寨县人，现在贵州省黔南监狱服刑。</w:t>
      </w:r>
    </w:p>
    <w:p>
      <w:pPr>
        <w:pStyle w:val="Normal"/>
        <w:snapToGrid w:val="false"/>
        <w:spacing w:lineRule="exact" w:line="560"/>
        <w:ind w:firstLine="640"/>
        <w:rPr>
          <w:rFonts w:ascii="仿宋_GB2312" w:hAnsi="仿宋_GB2312" w:eastAsia="仿宋_GB2312"/>
          <w:sz w:val="32"/>
          <w:szCs w:val="32"/>
        </w:rPr>
      </w:pPr>
      <w:r>
        <w:rPr>
          <w:rFonts w:eastAsia="仿宋_GB2312" w:ascii="仿宋_GB2312" w:hAnsi="仿宋_GB2312"/>
          <w:sz w:val="32"/>
          <w:szCs w:val="32"/>
        </w:rPr>
        <w:t>2021</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w:t>
      </w:r>
      <w:r>
        <w:rPr>
          <w:rFonts w:eastAsia="仿宋_GB2312" w:ascii="仿宋_GB2312" w:hAnsi="仿宋_GB2312"/>
          <w:sz w:val="32"/>
          <w:szCs w:val="32"/>
        </w:rPr>
        <w:t>22</w:t>
      </w:r>
      <w:r>
        <w:rPr>
          <w:rFonts w:ascii="仿宋_GB2312" w:hAnsi="仿宋_GB2312" w:eastAsia="仿宋_GB2312"/>
          <w:sz w:val="32"/>
          <w:szCs w:val="32"/>
        </w:rPr>
        <w:t>日，贵州省凯里市人民法院作出（</w:t>
      </w:r>
      <w:r>
        <w:rPr>
          <w:rFonts w:eastAsia="仿宋_GB2312" w:ascii="仿宋_GB2312" w:hAnsi="仿宋_GB2312"/>
          <w:sz w:val="32"/>
          <w:szCs w:val="32"/>
        </w:rPr>
        <w:t>2021</w:t>
      </w:r>
      <w:r>
        <w:rPr>
          <w:rFonts w:ascii="仿宋_GB2312" w:hAnsi="仿宋_GB2312" w:eastAsia="仿宋_GB2312"/>
          <w:sz w:val="32"/>
          <w:szCs w:val="32"/>
        </w:rPr>
        <w:t>）黔</w:t>
      </w:r>
      <w:r>
        <w:rPr>
          <w:rFonts w:eastAsia="仿宋_GB2312" w:ascii="仿宋_GB2312" w:hAnsi="仿宋_GB2312"/>
          <w:sz w:val="32"/>
          <w:szCs w:val="32"/>
        </w:rPr>
        <w:t>2601</w:t>
      </w:r>
      <w:r>
        <w:rPr>
          <w:rFonts w:ascii="仿宋_GB2312" w:hAnsi="仿宋_GB2312" w:eastAsia="仿宋_GB2312"/>
          <w:sz w:val="32"/>
          <w:szCs w:val="32"/>
        </w:rPr>
        <w:t>刑初</w:t>
      </w:r>
      <w:r>
        <w:rPr>
          <w:rFonts w:eastAsia="仿宋_GB2312" w:ascii="仿宋_GB2312" w:hAnsi="仿宋_GB2312"/>
          <w:sz w:val="32"/>
          <w:szCs w:val="32"/>
        </w:rPr>
        <w:t>194</w:t>
      </w:r>
      <w:r>
        <w:rPr>
          <w:rFonts w:ascii="仿宋_GB2312" w:hAnsi="仿宋_GB2312" w:eastAsia="仿宋_GB2312"/>
          <w:sz w:val="32"/>
          <w:szCs w:val="32"/>
        </w:rPr>
        <w:t>号刑事附带民事判决，认定龙兴昌犯危害国家重点保护植物罪，判处有期徒刑四年，并处罚金</w:t>
      </w:r>
      <w:r>
        <w:rPr>
          <w:rFonts w:eastAsia="仿宋_GB2312" w:ascii="仿宋_GB2312" w:hAnsi="仿宋_GB2312"/>
          <w:sz w:val="32"/>
          <w:szCs w:val="32"/>
        </w:rPr>
        <w:t>20000</w:t>
      </w:r>
      <w:r>
        <w:rPr>
          <w:rFonts w:ascii="仿宋_GB2312" w:hAnsi="仿宋_GB2312" w:eastAsia="仿宋_GB2312"/>
          <w:sz w:val="32"/>
          <w:szCs w:val="32"/>
        </w:rPr>
        <w:t>元；犯盗伐林木罪，判处有期徒刑六个月，并处罚金</w:t>
      </w:r>
      <w:r>
        <w:rPr>
          <w:rFonts w:eastAsia="仿宋_GB2312" w:ascii="仿宋_GB2312" w:hAnsi="仿宋_GB2312"/>
          <w:sz w:val="32"/>
          <w:szCs w:val="32"/>
        </w:rPr>
        <w:t>3000</w:t>
      </w:r>
      <w:r>
        <w:rPr>
          <w:rFonts w:ascii="仿宋_GB2312" w:hAnsi="仿宋_GB2312" w:eastAsia="仿宋_GB2312"/>
          <w:sz w:val="32"/>
          <w:szCs w:val="32"/>
        </w:rPr>
        <w:t>元，数罪并罚，决定执行有期徒刑四年四个月（刑期自</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w:t>
      </w:r>
      <w:r>
        <w:rPr>
          <w:rFonts w:eastAsia="仿宋_GB2312" w:ascii="仿宋_GB2312" w:hAnsi="仿宋_GB2312"/>
          <w:sz w:val="32"/>
          <w:szCs w:val="32"/>
        </w:rPr>
        <w:t>20</w:t>
      </w:r>
      <w:r>
        <w:rPr>
          <w:rFonts w:ascii="仿宋_GB2312" w:hAnsi="仿宋_GB2312" w:eastAsia="仿宋_GB2312"/>
          <w:sz w:val="32"/>
          <w:szCs w:val="32"/>
        </w:rPr>
        <w:t>日起至</w:t>
      </w:r>
      <w:r>
        <w:rPr>
          <w:rFonts w:eastAsia="仿宋_GB2312" w:ascii="仿宋_GB2312" w:hAnsi="仿宋_GB2312"/>
          <w:sz w:val="32"/>
          <w:szCs w:val="32"/>
        </w:rPr>
        <w:t>2026</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w:t>
      </w:r>
      <w:r>
        <w:rPr>
          <w:rFonts w:eastAsia="仿宋_GB2312" w:ascii="仿宋_GB2312" w:hAnsi="仿宋_GB2312"/>
          <w:sz w:val="32"/>
          <w:szCs w:val="32"/>
        </w:rPr>
        <w:t>19</w:t>
      </w:r>
      <w:r>
        <w:rPr>
          <w:rFonts w:ascii="仿宋_GB2312" w:hAnsi="仿宋_GB2312" w:eastAsia="仿宋_GB2312"/>
          <w:sz w:val="32"/>
          <w:szCs w:val="32"/>
        </w:rPr>
        <w:t>日止），并处罚金人民币</w:t>
      </w:r>
      <w:r>
        <w:rPr>
          <w:rFonts w:eastAsia="仿宋_GB2312" w:ascii="仿宋_GB2312" w:hAnsi="仿宋_GB2312"/>
          <w:sz w:val="32"/>
          <w:szCs w:val="32"/>
        </w:rPr>
        <w:t>23000</w:t>
      </w:r>
      <w:r>
        <w:rPr>
          <w:rFonts w:ascii="仿宋_GB2312" w:hAnsi="仿宋_GB2312" w:eastAsia="仿宋_GB2312"/>
          <w:sz w:val="32"/>
          <w:szCs w:val="32"/>
        </w:rPr>
        <w:t>元，责令被告人暨附带民事公益诉讼被告龙兴昌在判决生效后一年内按照丹寨县林业局出具的修复方案承担生态修复责任，若期限内未修复的，则按照丹寨县林业局认定的《补植复绿费用及责任人员分表》支付所需费用，并承担连带责任。同案不服，提出上诉。</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3</w:t>
      </w:r>
      <w:r>
        <w:rPr>
          <w:rFonts w:ascii="仿宋_GB2312" w:hAnsi="仿宋_GB2312" w:eastAsia="仿宋_GB2312"/>
          <w:sz w:val="32"/>
          <w:szCs w:val="32"/>
        </w:rPr>
        <w:t>月</w:t>
      </w:r>
      <w:r>
        <w:rPr>
          <w:rFonts w:eastAsia="仿宋_GB2312" w:ascii="仿宋_GB2312" w:hAnsi="仿宋_GB2312"/>
          <w:sz w:val="32"/>
          <w:szCs w:val="32"/>
        </w:rPr>
        <w:t>30</w:t>
      </w:r>
      <w:r>
        <w:rPr>
          <w:rFonts w:ascii="仿宋_GB2312" w:hAnsi="仿宋_GB2312" w:eastAsia="仿宋_GB2312"/>
          <w:sz w:val="32"/>
          <w:szCs w:val="32"/>
        </w:rPr>
        <w:t>日，贵州省黔东南苗族侗族自治州中级人民法院作出（</w:t>
      </w:r>
      <w:r>
        <w:rPr>
          <w:rFonts w:eastAsia="仿宋_GB2312" w:ascii="仿宋_GB2312" w:hAnsi="仿宋_GB2312"/>
          <w:sz w:val="32"/>
          <w:szCs w:val="32"/>
        </w:rPr>
        <w:t>2022</w:t>
      </w:r>
      <w:r>
        <w:rPr>
          <w:rFonts w:ascii="仿宋_GB2312" w:hAnsi="仿宋_GB2312" w:eastAsia="仿宋_GB2312"/>
          <w:sz w:val="32"/>
          <w:szCs w:val="32"/>
        </w:rPr>
        <w:t>）黔</w:t>
      </w:r>
      <w:r>
        <w:rPr>
          <w:rFonts w:eastAsia="仿宋_GB2312" w:ascii="仿宋_GB2312" w:hAnsi="仿宋_GB2312"/>
          <w:sz w:val="32"/>
          <w:szCs w:val="32"/>
        </w:rPr>
        <w:t>26</w:t>
      </w:r>
      <w:r>
        <w:rPr>
          <w:rFonts w:ascii="仿宋_GB2312" w:hAnsi="仿宋_GB2312" w:eastAsia="仿宋_GB2312"/>
          <w:sz w:val="32"/>
          <w:szCs w:val="32"/>
        </w:rPr>
        <w:t>刑终</w:t>
      </w:r>
      <w:r>
        <w:rPr>
          <w:rFonts w:eastAsia="仿宋_GB2312" w:ascii="仿宋_GB2312" w:hAnsi="仿宋_GB2312"/>
          <w:sz w:val="32"/>
          <w:szCs w:val="32"/>
        </w:rPr>
        <w:t>68</w:t>
      </w:r>
      <w:r>
        <w:rPr>
          <w:rFonts w:ascii="仿宋_GB2312" w:hAnsi="仿宋_GB2312" w:eastAsia="仿宋_GB2312"/>
          <w:sz w:val="32"/>
          <w:szCs w:val="32"/>
        </w:rPr>
        <w:t>号刑事裁定，驳回上诉，维持原判。</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判决发生法律效力后</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7</w:t>
      </w:r>
      <w:r>
        <w:rPr>
          <w:rFonts w:ascii="仿宋_GB2312" w:hAnsi="仿宋_GB2312" w:eastAsia="仿宋_GB2312"/>
          <w:sz w:val="32"/>
          <w:szCs w:val="32"/>
        </w:rPr>
        <w:t>月</w:t>
      </w:r>
      <w:r>
        <w:rPr>
          <w:rFonts w:eastAsia="仿宋_GB2312" w:ascii="仿宋_GB2312" w:hAnsi="仿宋_GB2312"/>
          <w:sz w:val="32"/>
          <w:szCs w:val="32"/>
        </w:rPr>
        <w:t>21</w:t>
      </w:r>
      <w:r>
        <w:rPr>
          <w:rFonts w:ascii="仿宋_GB2312" w:hAnsi="仿宋_GB2312" w:eastAsia="仿宋_GB2312"/>
          <w:sz w:val="32"/>
          <w:szCs w:val="32"/>
        </w:rPr>
        <w:t>日交付执行，</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w:t>
      </w:r>
      <w:r>
        <w:rPr>
          <w:rFonts w:eastAsia="仿宋_GB2312" w:ascii="仿宋_GB2312" w:hAnsi="仿宋_GB2312"/>
          <w:sz w:val="32"/>
          <w:szCs w:val="32"/>
        </w:rPr>
        <w:t>31</w:t>
      </w:r>
      <w:r>
        <w:rPr>
          <w:rFonts w:ascii="仿宋_GB2312" w:hAnsi="仿宋_GB2312" w:eastAsia="仿宋_GB2312"/>
          <w:sz w:val="32"/>
          <w:szCs w:val="32"/>
        </w:rPr>
        <w:t>日从贵州省凯里监狱调入贵州省桐州监狱（现贵州省黔南监狱）服刑。</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服刑期间执行刑期变动情况：</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w:t>
      </w:r>
      <w:r>
        <w:rPr>
          <w:rFonts w:eastAsia="仿宋_GB2312" w:ascii="仿宋_GB2312" w:hAnsi="仿宋_GB2312"/>
          <w:sz w:val="32"/>
          <w:szCs w:val="32"/>
        </w:rPr>
        <w:t>26</w:t>
      </w:r>
      <w:r>
        <w:rPr>
          <w:rFonts w:ascii="仿宋_GB2312" w:hAnsi="仿宋_GB2312" w:eastAsia="仿宋_GB2312"/>
          <w:sz w:val="32"/>
          <w:szCs w:val="32"/>
        </w:rPr>
        <w:t>日，贵州省黔南布依族苗族自治州中级人民法院作出（</w:t>
      </w:r>
      <w:r>
        <w:rPr>
          <w:rFonts w:eastAsia="仿宋_GB2312" w:ascii="仿宋_GB2312" w:hAnsi="仿宋_GB2312"/>
          <w:sz w:val="32"/>
          <w:szCs w:val="32"/>
        </w:rPr>
        <w:t>2024</w:t>
      </w:r>
      <w:r>
        <w:rPr>
          <w:rFonts w:ascii="仿宋_GB2312" w:hAnsi="仿宋_GB2312" w:eastAsia="仿宋_GB2312"/>
          <w:sz w:val="32"/>
          <w:szCs w:val="32"/>
        </w:rPr>
        <w:t>）黔</w:t>
      </w:r>
      <w:r>
        <w:rPr>
          <w:rFonts w:eastAsia="仿宋_GB2312" w:ascii="仿宋_GB2312" w:hAnsi="仿宋_GB2312"/>
          <w:sz w:val="32"/>
          <w:szCs w:val="32"/>
        </w:rPr>
        <w:t>27</w:t>
      </w:r>
      <w:r>
        <w:rPr>
          <w:rFonts w:ascii="仿宋_GB2312" w:hAnsi="仿宋_GB2312" w:eastAsia="仿宋_GB2312"/>
          <w:sz w:val="32"/>
          <w:szCs w:val="32"/>
        </w:rPr>
        <w:t>刑更</w:t>
      </w:r>
      <w:r>
        <w:rPr>
          <w:rFonts w:eastAsia="仿宋_GB2312" w:ascii="仿宋_GB2312" w:hAnsi="仿宋_GB2312"/>
          <w:sz w:val="32"/>
          <w:szCs w:val="32"/>
        </w:rPr>
        <w:t>231</w:t>
      </w:r>
      <w:r>
        <w:rPr>
          <w:rFonts w:ascii="仿宋_GB2312" w:hAnsi="仿宋_GB2312" w:eastAsia="仿宋_GB2312"/>
          <w:sz w:val="32"/>
          <w:szCs w:val="32"/>
        </w:rPr>
        <w:t>号刑事裁定，裁定减去有期徒刑五个月。（现刑期自</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w:t>
      </w:r>
      <w:r>
        <w:rPr>
          <w:rFonts w:eastAsia="仿宋_GB2312" w:ascii="仿宋_GB2312" w:hAnsi="仿宋_GB2312"/>
          <w:sz w:val="32"/>
          <w:szCs w:val="32"/>
        </w:rPr>
        <w:t>20</w:t>
      </w:r>
      <w:r>
        <w:rPr>
          <w:rFonts w:ascii="仿宋_GB2312" w:hAnsi="仿宋_GB2312" w:eastAsia="仿宋_GB2312"/>
          <w:sz w:val="32"/>
          <w:szCs w:val="32"/>
        </w:rPr>
        <w:t>日起至</w:t>
      </w:r>
      <w:r>
        <w:rPr>
          <w:rFonts w:eastAsia="仿宋_GB2312" w:ascii="仿宋_GB2312" w:hAnsi="仿宋_GB2312"/>
          <w:sz w:val="32"/>
          <w:szCs w:val="32"/>
        </w:rPr>
        <w:t>2026</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w:t>
      </w:r>
      <w:r>
        <w:rPr>
          <w:rFonts w:eastAsia="仿宋_GB2312" w:ascii="仿宋_GB2312" w:hAnsi="仿宋_GB2312"/>
          <w:sz w:val="32"/>
          <w:szCs w:val="32"/>
        </w:rPr>
        <w:t>19</w:t>
      </w:r>
      <w:r>
        <w:rPr>
          <w:rFonts w:ascii="仿宋_GB2312" w:hAnsi="仿宋_GB2312" w:eastAsia="仿宋_GB2312"/>
          <w:sz w:val="32"/>
          <w:szCs w:val="32"/>
        </w:rPr>
        <w:t>日止）。</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一、认罪悔罪方面：罪犯龙兴昌在服刑期间，能服从法院判决，认罪悔罪。</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二、遵守法律法规及监规方面：罪犯龙兴昌在服刑期间，认真遵守法律法规及监规纪律，服从管教。</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四、劳动改造方面：现从事值星员劳动岗位，能积严格遵守值星制度，完成劳动任务，表现较好。</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w:t>
      </w:r>
      <w:r>
        <w:rPr>
          <w:rFonts w:eastAsia="仿宋_GB2312" w:ascii="仿宋_GB2312" w:hAnsi="仿宋_GB2312"/>
          <w:sz w:val="32"/>
          <w:szCs w:val="32"/>
        </w:rPr>
        <w:t>23000</w:t>
      </w:r>
      <w:r>
        <w:rPr>
          <w:rFonts w:ascii="仿宋_GB2312" w:hAnsi="仿宋_GB2312" w:eastAsia="仿宋_GB2312"/>
          <w:sz w:val="32"/>
          <w:szCs w:val="32"/>
        </w:rPr>
        <w:t>元</w:t>
      </w:r>
      <w:r>
        <w:rPr>
          <w:rFonts w:eastAsia="仿宋_GB2312" w:ascii="仿宋_GB2312" w:hAnsi="仿宋_GB2312"/>
          <w:sz w:val="32"/>
          <w:szCs w:val="32"/>
        </w:rPr>
        <w:t>(</w:t>
      </w:r>
      <w:r>
        <w:rPr>
          <w:rFonts w:ascii="仿宋_GB2312" w:hAnsi="仿宋_GB2312" w:eastAsia="仿宋_GB2312"/>
          <w:sz w:val="32"/>
          <w:szCs w:val="32"/>
        </w:rPr>
        <w:t>已全部缴纳</w:t>
      </w:r>
      <w:r>
        <w:rPr>
          <w:rFonts w:eastAsia="仿宋_GB2312" w:ascii="仿宋_GB2312" w:hAnsi="仿宋_GB2312"/>
          <w:sz w:val="32"/>
          <w:szCs w:val="32"/>
        </w:rPr>
        <w:t>)</w:t>
      </w:r>
      <w:r>
        <w:rPr>
          <w:rFonts w:ascii="仿宋_GB2312" w:hAnsi="仿宋_GB2312" w:eastAsia="仿宋_GB2312"/>
          <w:sz w:val="32"/>
          <w:szCs w:val="32"/>
        </w:rPr>
        <w:t>；追缴违法所得人民币</w:t>
      </w:r>
      <w:r>
        <w:rPr>
          <w:rFonts w:eastAsia="仿宋_GB2312" w:ascii="仿宋_GB2312" w:hAnsi="仿宋_GB2312"/>
          <w:sz w:val="32"/>
          <w:szCs w:val="32"/>
        </w:rPr>
        <w:t>7900</w:t>
      </w:r>
      <w:r>
        <w:rPr>
          <w:rFonts w:ascii="仿宋_GB2312" w:hAnsi="仿宋_GB2312" w:eastAsia="仿宋_GB2312"/>
          <w:sz w:val="32"/>
          <w:szCs w:val="32"/>
        </w:rPr>
        <w:t>元</w:t>
      </w:r>
      <w:r>
        <w:rPr>
          <w:rFonts w:eastAsia="仿宋_GB2312" w:ascii="仿宋_GB2312" w:hAnsi="仿宋_GB2312"/>
          <w:sz w:val="32"/>
          <w:szCs w:val="32"/>
        </w:rPr>
        <w:t>(</w:t>
      </w:r>
      <w:r>
        <w:rPr>
          <w:rFonts w:ascii="仿宋_GB2312" w:hAnsi="仿宋_GB2312" w:eastAsia="仿宋_GB2312"/>
          <w:sz w:val="32"/>
          <w:szCs w:val="32"/>
        </w:rPr>
        <w:t>已全部缴纳</w:t>
      </w:r>
      <w:r>
        <w:rPr>
          <w:rFonts w:eastAsia="仿宋_GB2312" w:ascii="仿宋_GB2312" w:hAnsi="仿宋_GB2312"/>
          <w:sz w:val="32"/>
          <w:szCs w:val="32"/>
        </w:rPr>
        <w:t>)</w:t>
      </w:r>
      <w:r>
        <w:rPr>
          <w:rFonts w:ascii="仿宋_GB2312" w:hAnsi="仿宋_GB2312" w:eastAsia="仿宋_GB2312"/>
          <w:sz w:val="32"/>
          <w:szCs w:val="32"/>
        </w:rPr>
        <w:t>；承担生态修复责任及费用未履行。</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六、考核奖励情况：</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3</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4</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月至</w:t>
      </w: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3</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个表扬；共获得</w:t>
      </w:r>
      <w:r>
        <w:rPr>
          <w:rFonts w:eastAsia="仿宋_GB2312" w:ascii="仿宋_GB2312" w:hAnsi="仿宋_GB2312"/>
          <w:sz w:val="32"/>
          <w:szCs w:val="32"/>
        </w:rPr>
        <w:t>3</w:t>
      </w:r>
      <w:r>
        <w:rPr>
          <w:rFonts w:ascii="仿宋_GB2312" w:hAnsi="仿宋_GB2312" w:eastAsia="仿宋_GB2312"/>
          <w:sz w:val="32"/>
          <w:szCs w:val="32"/>
        </w:rPr>
        <w:t>个表扬。</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从严情形：承担生态修复责任及费用未履行；数罪并罚。</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罪犯龙兴昌符合提请减刑条件。未发现提请减刑建议不当，同意将案件交监狱长办公会审核。</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综上所述，罪犯龙兴昌自上次裁定减刑以来，能认真遵守监规，接受教育改造，确有悔改表现。</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龙兴昌提请减去有期徒刑的剩余刑期，特提请裁定。</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此致</w:t>
      </w:r>
    </w:p>
    <w:p>
      <w:pPr>
        <w:pStyle w:val="Normal"/>
        <w:snapToGrid w:val="false"/>
        <w:spacing w:lineRule="exact" w:line="560"/>
        <w:rPr>
          <w:rFonts w:ascii="仿宋_GB2312" w:hAnsi="仿宋_GB2312" w:eastAsia="仿宋_GB2312"/>
          <w:sz w:val="32"/>
          <w:szCs w:val="32"/>
        </w:rPr>
      </w:pPr>
      <w:r>
        <w:drawing>
          <wp:anchor behindDoc="1" distT="0" distB="0" distL="0" distR="0" simplePos="0" locked="0" layoutInCell="1" allowOverlap="1" relativeHeight="2">
            <wp:simplePos x="0" y="0"/>
            <wp:positionH relativeFrom="column">
              <wp:posOffset>3587750</wp:posOffset>
            </wp:positionH>
            <wp:positionV relativeFrom="paragraph">
              <wp:posOffset>302260</wp:posOffset>
            </wp:positionV>
            <wp:extent cx="1511935" cy="1511935"/>
            <wp:effectExtent l="0" t="0" r="0" b="0"/>
            <wp:wrapNone/>
            <wp:docPr id="1" name="图片 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z}}"/>
                    <pic:cNvPicPr>
                      <a:picLocks noChangeAspect="1" noChangeArrowheads="1"/>
                    </pic:cNvPicPr>
                  </pic:nvPicPr>
                  <pic:blipFill>
                    <a:blip r:embed="rId2"/>
                    <a:stretch>
                      <a:fillRect/>
                    </a:stretch>
                  </pic:blipFill>
                  <pic:spPr bwMode="auto">
                    <a:xfrm>
                      <a:off x="0" y="0"/>
                      <a:ext cx="1511935" cy="1511935"/>
                    </a:xfrm>
                    <a:prstGeom prst="rect">
                      <a:avLst/>
                    </a:prstGeom>
                  </pic:spPr>
                </pic:pic>
              </a:graphicData>
            </a:graphic>
          </wp:anchor>
        </w:drawing>
      </w:r>
      <w:r>
        <w:rPr>
          <w:rFonts w:ascii="仿宋_GB2312" w:hAnsi="仿宋_GB2312" w:eastAsia="仿宋_GB2312"/>
          <w:sz w:val="32"/>
          <w:szCs w:val="32"/>
        </w:rPr>
        <w:t>黔南布依族苗族自治州中级人民法院</w:t>
      </w:r>
    </w:p>
    <w:p>
      <w:pPr>
        <w:pStyle w:val="Normal"/>
        <w:snapToGrid w:val="false"/>
        <w:spacing w:lineRule="exact" w:line="560"/>
        <w:rPr>
          <w:rFonts w:ascii="仿宋" w:hAnsi="仿宋" w:eastAsia="仿宋"/>
          <w:sz w:val="32"/>
          <w:szCs w:val="32"/>
        </w:rPr>
      </w:pPr>
      <w:r>
        <w:rPr>
          <w:rFonts w:eastAsia="仿宋" w:ascii="仿宋" w:hAnsi="仿宋"/>
          <w:sz w:val="32"/>
          <w:szCs w:val="32"/>
        </w:rPr>
      </w:r>
    </w:p>
    <w:p>
      <w:pPr>
        <w:pStyle w:val="Normal"/>
        <w:spacing w:lineRule="exact" w:line="560"/>
        <w:jc w:val="center"/>
        <w:rPr>
          <w:rFonts w:ascii="仿宋_GB2312" w:hAnsi="仿宋_GB2312" w:eastAsia="仿宋_GB2312"/>
          <w:sz w:val="32"/>
          <w:szCs w:val="32"/>
        </w:rPr>
      </w:pPr>
      <w:r>
        <w:rPr>
          <w:rFonts w:ascii="仿宋_GB2312" w:hAnsi="仿宋_GB2312" w:eastAsia="仿宋_GB2312"/>
          <w:sz w:val="32"/>
          <w:szCs w:val="32"/>
        </w:rPr>
        <w:t xml:space="preserve">                               </w:t>
      </w:r>
      <w:r>
        <w:rPr>
          <w:rFonts w:ascii="仿宋_GB2312" w:hAnsi="仿宋_GB2312" w:eastAsia="仿宋_GB2312"/>
          <w:sz w:val="32"/>
          <w:szCs w:val="32"/>
        </w:rPr>
        <w:t>（公章）</w:t>
      </w:r>
    </w:p>
    <w:p>
      <w:pPr>
        <w:pStyle w:val="Normal"/>
        <w:snapToGrid w:val="false"/>
        <w:spacing w:lineRule="exact" w:line="560"/>
        <w:ind w:firstLine="5760"/>
        <w:rPr>
          <w:rFonts w:ascii="仿宋" w:hAnsi="仿宋" w:eastAsia="仿宋"/>
          <w:sz w:val="32"/>
          <w:szCs w:val="32"/>
        </w:rPr>
      </w:pP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w:t>
      </w:r>
      <w:r>
        <w:rPr>
          <w:rFonts w:eastAsia="仿宋_GB2312" w:ascii="仿宋_GB2312" w:hAnsi="仿宋_GB2312"/>
          <w:sz w:val="32"/>
          <w:szCs w:val="32"/>
        </w:rPr>
        <w:t>23</w:t>
      </w:r>
      <w:r>
        <w:rPr>
          <w:rFonts w:ascii="仿宋_GB2312" w:hAnsi="仿宋_GB2312" w:eastAsia="仿宋_GB2312"/>
          <w:sz w:val="32"/>
          <w:szCs w:val="32"/>
        </w:rPr>
        <w:t>日</w:t>
      </w:r>
    </w:p>
    <w:sectPr>
      <w:type w:val="nextPage"/>
      <w:pgSz w:w="11906" w:h="16838"/>
      <w:pgMar w:left="1588" w:right="1474" w:gutter="0" w:header="0" w:top="2098" w:footer="0" w:bottom="1985"/>
      <w:paperSrc w:first="0" w:oth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等线">
    <w:charset w:val="01"/>
    <w:family w:val="roman"/>
    <w:pitch w:val="variable"/>
  </w:font>
  <w:font w:name="仿宋">
    <w:charset w:val="01"/>
    <w:family w:val="roman"/>
    <w:pitch w:val="variable"/>
  </w:font>
  <w:font w:name="DejaVu Sans">
    <w:charset w:val="01"/>
    <w:family w:val="swiss"/>
    <w:pitch w:val="variable"/>
  </w:font>
  <w:font w:name="方正小标宋简体">
    <w:charset w:val="01"/>
    <w:family w:val="roman"/>
    <w:pitch w:val="variable"/>
  </w:font>
  <w:font w:name="仿宋_GB2312">
    <w:charset w:val="01"/>
    <w:family w:val="roman"/>
    <w:pitch w:val="variable"/>
  </w:font>
</w:fonts>
</file>

<file path=word/settings.xml><?xml version="1.0" encoding="utf-8"?>
<w:settings xmlns:w="http://schemas.openxmlformats.org/wordprocessingml/2006/main">
  <w:zoom w:percent="17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1"/>
        <w:szCs w:val="22"/>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等线" w:hAnsi="等线" w:eastAsia="等线" w:cs="" w:asciiTheme="minorHAnsi" w:cstheme="minorBidi" w:eastAsiaTheme="minorEastAsia" w:hAnsiTheme="minorHAnsi"/>
      <w:color w:val="auto"/>
      <w:kern w:val="2"/>
      <w:sz w:val="21"/>
      <w:szCs w:val="22"/>
      <w:lang w:val="en-US" w:eastAsia="zh-CN" w:bidi="ar-SA"/>
    </w:rPr>
  </w:style>
  <w:style w:type="character" w:styleId="DefaultParagraphFont" w:default="1">
    <w:name w:val="Default Paragraph Font"/>
    <w:uiPriority w:val="1"/>
    <w:semiHidden/>
    <w:unhideWhenUsed/>
    <w:qFormat/>
    <w:rPr/>
  </w:style>
  <w:style w:type="character" w:styleId="Style14" w:customStyle="1">
    <w:name w:val="页眉 字符"/>
    <w:basedOn w:val="DefaultParagraphFont"/>
    <w:link w:val="Header"/>
    <w:uiPriority w:val="99"/>
    <w:qFormat/>
    <w:rsid w:val="00c915da"/>
    <w:rPr>
      <w:sz w:val="18"/>
      <w:szCs w:val="18"/>
    </w:rPr>
  </w:style>
  <w:style w:type="character" w:styleId="Style15" w:customStyle="1">
    <w:name w:val="页脚 字符"/>
    <w:basedOn w:val="DefaultParagraphFont"/>
    <w:link w:val="Footer"/>
    <w:uiPriority w:val="99"/>
    <w:qFormat/>
    <w:rsid w:val="00c915da"/>
    <w:rPr>
      <w:sz w:val="18"/>
      <w:szCs w:val="18"/>
    </w:rPr>
  </w:style>
  <w:style w:type="character" w:styleId="Style16" w:customStyle="1">
    <w:name w:val="称呼 字符"/>
    <w:basedOn w:val="DefaultParagraphFont"/>
    <w:uiPriority w:val="99"/>
    <w:qFormat/>
    <w:rsid w:val="00d57885"/>
    <w:rPr>
      <w:rFonts w:ascii="仿宋" w:hAnsi="仿宋" w:eastAsia="仿宋"/>
      <w:sz w:val="30"/>
      <w:szCs w:val="30"/>
    </w:rPr>
  </w:style>
  <w:style w:type="character" w:styleId="Style17" w:customStyle="1">
    <w:name w:val="结束语 字符"/>
    <w:basedOn w:val="DefaultParagraphFont"/>
    <w:link w:val="Closing"/>
    <w:uiPriority w:val="99"/>
    <w:qFormat/>
    <w:rsid w:val="00d57885"/>
    <w:rPr>
      <w:rFonts w:ascii="仿宋" w:hAnsi="仿宋" w:eastAsia="仿宋"/>
      <w:sz w:val="30"/>
      <w:szCs w:val="30"/>
    </w:rPr>
  </w:style>
  <w:style w:type="paragraph" w:styleId="Heading">
    <w:name w:val="Heading"/>
    <w:basedOn w:val="Normal"/>
    <w:next w:val="BodyText"/>
    <w:qFormat/>
    <w:pPr>
      <w:keepNext w:val="true"/>
      <w:spacing w:before="240" w:after="120"/>
    </w:pPr>
    <w:rPr>
      <w:rFonts w:ascii="DejaVu Sans" w:hAnsi="DejaVu Sans" w:eastAsia="Microsoft YaHei" w:cs="WenQuanYi Zen He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WenQuanYi Zen Hei"/>
    </w:rPr>
  </w:style>
  <w:style w:type="paragraph" w:styleId="Caption">
    <w:name w:val="Caption"/>
    <w:basedOn w:val="Normal"/>
    <w:qFormat/>
    <w:pPr>
      <w:suppressLineNumbers/>
      <w:spacing w:before="120" w:after="120"/>
    </w:pPr>
    <w:rPr>
      <w:rFonts w:cs="WenQuanYi Zen Hei"/>
      <w:i/>
      <w:iCs/>
      <w:sz w:val="24"/>
      <w:szCs w:val="24"/>
    </w:rPr>
  </w:style>
  <w:style w:type="paragraph" w:styleId="Index">
    <w:name w:val="Index"/>
    <w:basedOn w:val="Normal"/>
    <w:qFormat/>
    <w:pPr>
      <w:suppressLineNumbers/>
    </w:pPr>
    <w:rPr>
      <w:rFonts w:cs="WenQuanYi Zen Hei"/>
    </w:rPr>
  </w:style>
  <w:style w:type="paragraph" w:styleId="HeaderandFooter">
    <w:name w:val="Header and Footer"/>
    <w:basedOn w:val="Normal"/>
    <w:qFormat/>
    <w:pPr/>
    <w:rPr/>
  </w:style>
  <w:style w:type="paragraph" w:styleId="Header">
    <w:name w:val="Header"/>
    <w:basedOn w:val="Normal"/>
    <w:link w:val="Style14"/>
    <w:uiPriority w:val="99"/>
    <w:unhideWhenUsed/>
    <w:rsid w:val="00c915da"/>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link w:val="Style15"/>
    <w:uiPriority w:val="99"/>
    <w:unhideWhenUsed/>
    <w:rsid w:val="00c915da"/>
    <w:pPr>
      <w:tabs>
        <w:tab w:val="clear" w:pos="420"/>
        <w:tab w:val="center" w:pos="4153" w:leader="none"/>
        <w:tab w:val="right" w:pos="8306" w:leader="none"/>
      </w:tabs>
      <w:snapToGrid w:val="false"/>
      <w:jc w:val="left"/>
    </w:pPr>
    <w:rPr>
      <w:sz w:val="18"/>
      <w:szCs w:val="18"/>
    </w:rPr>
  </w:style>
  <w:style w:type="paragraph" w:styleId="Salutation">
    <w:name w:val="Salutation"/>
    <w:basedOn w:val="Normal"/>
    <w:next w:val="Normal"/>
    <w:link w:val="Style16"/>
    <w:uiPriority w:val="99"/>
    <w:unhideWhenUsed/>
    <w:rsid w:val="00d57885"/>
    <w:pPr/>
    <w:rPr>
      <w:rFonts w:ascii="仿宋" w:hAnsi="仿宋" w:eastAsia="仿宋"/>
      <w:sz w:val="30"/>
      <w:szCs w:val="30"/>
    </w:rPr>
  </w:style>
  <w:style w:type="paragraph" w:styleId="Closing">
    <w:name w:val="Closing"/>
    <w:basedOn w:val="Normal"/>
    <w:link w:val="Style17"/>
    <w:uiPriority w:val="99"/>
    <w:unhideWhenUsed/>
    <w:rsid w:val="00d57885"/>
    <w:pPr>
      <w:ind w:left="100"/>
    </w:pPr>
    <w:rPr>
      <w:rFonts w:ascii="仿宋" w:hAnsi="仿宋" w:eastAsia="仿宋"/>
      <w:sz w:val="30"/>
      <w:szCs w:val="3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1357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pitchFamily="0" charset="1"/>
        <a:ea typeface=""/>
        <a:cs typeface=""/>
      </a:majorFont>
      <a:minorFont>
        <a:latin typeface="等线"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97</TotalTime>
  <Application>LibreOffice/24.2.7.2$Linux_X86_64 LibreOffice_project/420$Build-2</Application>
  <AppVersion>15.0000</AppVersion>
  <Pages>2</Pages>
  <Words>34</Words>
  <Characters>200</Characters>
  <CharactersWithSpaces>233</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dc:description/>
  <dc:language>zh-CN</dc:language>
  <cp:lastModifiedBy>三 曾</cp:lastModifiedBy>
  <dcterms:modified xsi:type="dcterms:W3CDTF">2025-08-22T09:14:00Z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