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罪犯刘泽鹏，男，</w:t>
      </w:r>
      <w:r>
        <w:rPr>
          <w:rFonts w:eastAsia="仿宋_GB2312" w:ascii="仿宋_GB2312" w:hAnsi="仿宋_GB2312"/>
          <w:sz w:val="32"/>
          <w:szCs w:val="32"/>
        </w:rPr>
        <w:t>2005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日生，汉族，初中文化贵州省织金县人，现在贵州省沙子哨监狱服刑。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日，贵州省安顺市西秀区人民法院作出（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0402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>267</w:t>
      </w:r>
      <w:r>
        <w:rPr>
          <w:rFonts w:ascii="仿宋_GB2312" w:hAnsi="仿宋_GB2312" w:eastAsia="仿宋_GB2312"/>
          <w:sz w:val="32"/>
          <w:szCs w:val="32"/>
        </w:rPr>
        <w:t>号刑事判决，认定刘泽鹏犯抢劫罪，判处有期徒刑三年二个月（刑期自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2750.00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日从贵州省普定监狱调入贵州省沙子哨监狱服刑。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一、认罪悔罪方面：罪犯刘泽鹏在服刑期间，能服从法院判决，认罪悔罪。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二、遵守法律法规及监规方面：罪犯刘泽鹏在服刑期间，认真遵守法律法规及监规纪律，服从管教。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2750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已发还</w:t>
      </w:r>
      <w:r>
        <w:rPr>
          <w:rFonts w:eastAsia="仿宋_GB2312" w:ascii="仿宋_GB2312" w:hAnsi="仿宋_GB2312"/>
          <w:sz w:val="32"/>
          <w:szCs w:val="32"/>
        </w:rPr>
        <w:t>2017.79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法院执行裁定书）。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从严情形：检察机关建议从严，提请减刑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经审查，我院认为，罪犯刘泽鹏符合提请减刑条件。未发现提请减刑建议不当，同意将案件交监狱长办公会审核。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综上所述，罪犯刘泽鹏在服刑改造期间，能认真遵守监规，接受教育改造，确有悔改表现。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泽鹏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