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罪犯杨云，男，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日生，汉族，小学文化贵州省贵阳市乌当区人，现在贵州省沙子哨监狱服刑。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日，贵州省贵阳市乌当区人民法院作出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0112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75 </w:t>
      </w:r>
      <w:r>
        <w:rPr>
          <w:rFonts w:ascii="仿宋_GB2312" w:hAnsi="仿宋_GB2312" w:eastAsia="仿宋_GB2312"/>
          <w:sz w:val="32"/>
          <w:szCs w:val="32"/>
        </w:rPr>
        <w:t>号刑事判决，认定杨云犯组织卖淫罪，判处有期徒刑三年八个月（刑期自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日止）。并处罚金人民币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元，杨云等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人违法所得</w:t>
      </w:r>
      <w:r>
        <w:rPr>
          <w:rFonts w:eastAsia="仿宋_GB2312" w:ascii="仿宋_GB2312" w:hAnsi="仿宋_GB2312"/>
          <w:sz w:val="32"/>
          <w:szCs w:val="32"/>
        </w:rPr>
        <w:t>111115</w:t>
      </w:r>
      <w:r>
        <w:rPr>
          <w:rFonts w:ascii="仿宋_GB2312" w:hAnsi="仿宋_GB2312" w:eastAsia="仿宋_GB2312"/>
          <w:sz w:val="32"/>
          <w:szCs w:val="32"/>
        </w:rPr>
        <w:t>元继续追缴。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一、认罪悔罪方面：罪犯杨云在服刑期间，能服从法院判决，认罪悔罪。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二、遵守法律法规及监规方面：罪犯杨云在服刑期间，认真遵守法律法规及监规纪律，服从管教。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五、履行财产性判项方面：并处罚金人民币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元（已缴纳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法院证明），杨云等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人违法所得</w:t>
      </w:r>
      <w:r>
        <w:rPr>
          <w:rFonts w:eastAsia="仿宋_GB2312" w:ascii="仿宋_GB2312" w:hAnsi="仿宋_GB2312"/>
          <w:sz w:val="32"/>
          <w:szCs w:val="32"/>
        </w:rPr>
        <w:t>111115</w:t>
      </w:r>
      <w:r>
        <w:rPr>
          <w:rFonts w:ascii="仿宋_GB2312" w:hAnsi="仿宋_GB2312" w:eastAsia="仿宋_GB2312"/>
          <w:sz w:val="32"/>
          <w:szCs w:val="32"/>
        </w:rPr>
        <w:t>元继续追缴（已追缴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法院证明）。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经审查，我院认为，罪犯杨云符合提请减刑条件。未发现提请减刑建议不当，同意将案件交监狱长办公会审核。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综上所述，罪犯杨云在服刑改造期间，能认真遵守监规，接受教育改造，确有悔改表现。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云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