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罪犯白兴兵，男，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日，贵州省贵阳市乌当区人民法院作出（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0112</w:t>
      </w:r>
      <w:r>
        <w:rPr>
          <w:rFonts w:ascii="仿宋_GB2312" w:hAnsi="仿宋_GB2312" w:eastAsia="仿宋_GB2312"/>
          <w:sz w:val="32"/>
          <w:szCs w:val="32"/>
        </w:rPr>
        <w:t>刑初字第</w:t>
      </w:r>
      <w:r>
        <w:rPr>
          <w:rFonts w:eastAsia="仿宋_GB2312" w:ascii="仿宋_GB2312" w:hAnsi="仿宋_GB2312"/>
          <w:sz w:val="32"/>
          <w:szCs w:val="32"/>
        </w:rPr>
        <w:t>77</w:t>
      </w:r>
      <w:r>
        <w:rPr>
          <w:rFonts w:ascii="仿宋_GB2312" w:hAnsi="仿宋_GB2312" w:eastAsia="仿宋_GB2312"/>
          <w:sz w:val="32"/>
          <w:szCs w:val="32"/>
        </w:rPr>
        <w:t>号刑事判决，认定白兴兵犯诈骗罪，判处有期徒刑四年八个月（刑期自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113500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日入贵州省白云监狱，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日调入贵州省沙子哨监狱。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一、认罪悔罪方面：罪犯白兴兵在服刑期间，能服从法院判决，认罪悔罪。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二、遵守法律法规及监规方面：罪犯白兴兵在服刑期间，认真遵守法律法规及监规纪律，服从管教。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罚金收据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113500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已全部退赔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法院执行情况说明）。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从严情形：有前科，从严一个月。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经审查，我院认为，罪犯白兴兵符合提请减刑条件。未发现提请减刑建议不当，同意将案件交监狱长办公会审核。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综上所述，罪犯白兴兵在服刑改造期间，能认真遵守监规，接受教育改造，确有悔改表现。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白兴兵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