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罪犯石兵，男，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日生，汉族，高中文化贵州省毕节市七星关区人，现在贵州省沙子哨监狱服刑。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0102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996</w:t>
      </w:r>
      <w:r>
        <w:rPr>
          <w:rFonts w:ascii="仿宋_GB2312" w:hAnsi="仿宋_GB2312" w:eastAsia="仿宋_GB2312"/>
          <w:sz w:val="32"/>
          <w:szCs w:val="32"/>
        </w:rPr>
        <w:t>号刑事附带民事判决，认定石兵犯强奸罪，判处有期徒刑三年六个月，赔偿附带民事诉讼原告人经济损失人民币</w:t>
      </w:r>
      <w:r>
        <w:rPr>
          <w:rFonts w:eastAsia="仿宋_GB2312" w:ascii="仿宋_GB2312" w:hAnsi="仿宋_GB2312"/>
          <w:sz w:val="32"/>
          <w:szCs w:val="32"/>
        </w:rPr>
        <w:t>3161.58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一、认罪悔罪方面：罪犯石兵在服刑期间，能服从法院判决，认罪悔罪。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二、遵守法律法规及监规方面：罪犯石兵在服刑期间，认真遵守法律法规及监规纪律，服从管教。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五、履行财产性判项方面：赔偿民事诉讼原告人经济损失人民币</w:t>
      </w:r>
      <w:r>
        <w:rPr>
          <w:rFonts w:eastAsia="仿宋_GB2312" w:ascii="仿宋_GB2312" w:hAnsi="仿宋_GB2312"/>
          <w:sz w:val="32"/>
          <w:szCs w:val="32"/>
        </w:rPr>
        <w:t>3161.58</w:t>
      </w:r>
      <w:r>
        <w:rPr>
          <w:rFonts w:ascii="仿宋_GB2312" w:hAnsi="仿宋_GB2312" w:eastAsia="仿宋_GB2312"/>
          <w:sz w:val="32"/>
          <w:szCs w:val="32"/>
        </w:rPr>
        <w:t>元（未履行）。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经审查，我院认为，罪犯石兵符合提请减刑条件。未发现提请减刑建议不当，同意将案件交监狱长办公会审核。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综上所述，罪犯石兵在服刑改造期间，能认真遵守监规，接受教育改造，确有悔改表现。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石兵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