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罪犯黎成国，男，</w:t>
      </w:r>
      <w:r>
        <w:rPr>
          <w:rFonts w:eastAsia="仿宋_GB2312" w:ascii="仿宋_GB2312" w:hAnsi="仿宋_GB2312"/>
          <w:sz w:val="32"/>
          <w:szCs w:val="32"/>
        </w:rPr>
        <w:t>2000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日生，布依族，初中文化贵州省独山县人，现在贵州省沙子哨监狱服刑。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158</w:t>
      </w:r>
      <w:r>
        <w:rPr>
          <w:rFonts w:ascii="仿宋_GB2312" w:hAnsi="仿宋_GB2312" w:eastAsia="仿宋_GB2312"/>
          <w:sz w:val="32"/>
          <w:szCs w:val="32"/>
        </w:rPr>
        <w:t>号刑事判决，认定黎成国犯掩饰、隐瞒犯罪所得罪，判处有期徒刑三年，并处罚金人民币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元。宣判后，该犯及其同案犯不服，提起上诉。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日，贵阳市中级人民法院作出（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372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一、认罪悔罪方面：罪犯黎成国在服刑期间，能服从法院判决，认罪悔罪。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二、遵守法律法规及监规方面：罪犯黎成国在服刑期间，认真遵守法律法规及监规纪律，服从管教。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\</w:t>
      </w:r>
      <w:r>
        <w:rPr>
          <w:rFonts w:ascii="仿宋_GB2312" w:hAnsi="仿宋_GB2312" w:eastAsia="仿宋_GB2312"/>
          <w:sz w:val="32"/>
          <w:szCs w:val="32"/>
        </w:rPr>
        <w:t>收据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从严情形：犯罪情节严重，从严扣减一个月。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经审查，我院认为，罪犯黎成国符合提请减刑条件。未发现提请减刑建议不当，同意将案件交监狱长办公会审核。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综上所述，罪犯黎成国在服刑改造期间，能认真遵守监规，接受教育改造，确有悔改表现。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黎成国提请减去有期徒刑二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