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罪犯古朝波，男，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日生，汉族，初中文化重庆市荣昌区人，现在贵州省沙子哨监狱服刑。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日，贵州省绥阳县人民法院作出（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265</w:t>
      </w:r>
      <w:r>
        <w:rPr>
          <w:rFonts w:ascii="仿宋_GB2312" w:hAnsi="仿宋_GB2312" w:eastAsia="仿宋_GB2312"/>
          <w:sz w:val="32"/>
          <w:szCs w:val="32"/>
        </w:rPr>
        <w:t>号刑事判决，认定古朝波犯贩卖毒品罪，判处有期徒刑四年六个月，并处罚金人民币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8500.00</w:t>
      </w:r>
      <w:r>
        <w:rPr>
          <w:rFonts w:ascii="仿宋_GB2312" w:hAnsi="仿宋_GB2312" w:eastAsia="仿宋_GB2312"/>
          <w:sz w:val="32"/>
          <w:szCs w:val="32"/>
        </w:rPr>
        <w:t>元依法予以追缴，上缴国库。刑期自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日从贵州省黔北监狱调入贵州省沙子哨监狱服刑。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一、认罪悔罪方面：罪犯古朝波在服刑期间，能服从法院判决，认罪悔罪。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二、遵守法律法规及监规方面：罪犯古朝波在服刑期间，认真遵守法律法规及监规纪律，服从管教。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8500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从严情形：毒品再犯；犯罪情节严重。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经审查，我院认为，罪犯古朝波符合提请减刑条件。未发现提请减刑建议不当，同意将案件交监狱长办公会审核。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综上所述，罪犯古朝波在服刑改造期间，能认真遵守监规，接受教育改造，确有悔改表现。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古朝波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