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罪犯付愿，男，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日生，汉族，小学文化贵州省毕节市七星关区人，现在贵州省沙子哨监狱服刑。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344</w:t>
      </w:r>
      <w:r>
        <w:rPr>
          <w:rFonts w:ascii="仿宋_GB2312" w:hAnsi="仿宋_GB2312" w:eastAsia="仿宋_GB2312"/>
          <w:sz w:val="32"/>
          <w:szCs w:val="32"/>
        </w:rPr>
        <w:t>号刑事判决，认定付愿犯交通肇事罪，判处有期徒刑三年。刑期自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一、认罪悔罪方面：罪犯付愿在服刑期间，能服从法院判决，认罪悔罪。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二、遵守法律法规及监规方面：罪犯付愿在服刑期间，认真遵守法律法规及监规纪律，服从管教。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经审查，我院认为，罪犯付愿符合提请减刑条件。未发现提请减刑建议不当，同意将案件交监狱长办公会审核。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综上所述，罪犯付愿在服刑改造期间，能认真遵守监规，接受教育改造，确有悔改表现。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付愿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