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罪犯凌望，男，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日生，汉族，专科文化重庆市云阳县人，现在贵州省沙子哨监狱服刑。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日，贵州省赤水市人民法院作出（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257</w:t>
      </w:r>
      <w:r>
        <w:rPr>
          <w:rFonts w:ascii="仿宋_GB2312" w:hAnsi="仿宋_GB2312" w:eastAsia="仿宋_GB2312"/>
          <w:sz w:val="32"/>
          <w:szCs w:val="32"/>
        </w:rPr>
        <w:t>号刑事附带民事公益诉讼判决，认定凌望犯侵犯公民个人信息罪，判处有期徒刑四年，并处罚金人民币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元；赔偿损害赔偿金人民币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元；公安机关扣押手机一部，系作案工具，予以没收，由扣押机关依法处理。该犯及其他同案犯不服，提出上诉。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340</w:t>
      </w:r>
      <w:r>
        <w:rPr>
          <w:rFonts w:ascii="仿宋_GB2312" w:hAnsi="仿宋_GB2312" w:eastAsia="仿宋_GB2312"/>
          <w:sz w:val="32"/>
          <w:szCs w:val="32"/>
        </w:rPr>
        <w:t>号刑事附带民事公益诉讼裁定，驳回上诉，维持原判。刑期自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一、认罪悔罪方面：罪犯凌望在服刑期间，能服从法院判决，认罪悔罪。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二、遵守法律法规及监规方面：罪犯凌望在服刑期间，认真遵守法律法规及监规纪律，服从管教。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元、赔偿损害赔偿金人民币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从严情形：犯罪情节特别严重，从严扣减一个月。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经审查，我院认为，罪犯凌望符合提请减刑条件。未发现提请减刑建议不当，同意将案件交监狱长办公会审核。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综上所述，罪犯凌望在服刑改造期间，能认真遵守监规，接受教育改造，确有悔改表现。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凌望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