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贵州省羊艾监狱2023年政府信息公开年度报告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根据《中华人民共和国政府信息公开条例》和《贵州省政府信息公开暂行规定》，编制贵州省羊艾监狱202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年政府信息公开年度报告，包括总体情况、主动公开政府信息情况、收到和处理政府信息公开申请情况、政府信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息公开行政复议、行政诉讼情况、存在的主要问题及改进情况、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其他需要报告的事项。本报告统计数据从202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年12月31日止，本报告电子版在贵州省羊艾监狱门户网站政务公开—信息公开年报专栏（http://jyglj.guizhou.gov.cn/ya/zwgk/xxgknb/）下载。 </w:t>
      </w:r>
      <w:r>
        <w:rPr>
          <w:rFonts w:hint="eastAsia" w:ascii="仿宋" w:hAnsi="仿宋" w:eastAsia="仿宋" w:cs="仿宋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如需咨询，请与贵州省羊艾监狱办公室联系（地址：贵州省贵安新区贵州省羊艾监狱，邮编：550032，电话：0851-88236635）。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一、</w:t>
      </w:r>
      <w:r>
        <w:rPr>
          <w:rFonts w:ascii="黑体" w:hAnsi="宋体" w:eastAsia="黑体" w:cs="黑体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监狱严格按照《中华人民共和国政府信息公开条例》、《贵州省政府信息公开暂行规定》、《贵州省监狱系统信息发布暂行规定》，充分利用监狱政务网站、政务微博、政务微信三个平台，并进行实时更新，不断加大公开力度，深化公开内容，扎实有效地推进政府信息公开各项工作。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年度，监狱门户网站共发布信息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475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条、政务微博发布信息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336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条，政务微信发布信息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393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条，发布通知公告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4条、狱务公开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条。202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年度，政府集中采购目录所涉物品或服务采购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31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次，涉及资金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573.49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万元。通过监狱微博、微信及时回应网友求助、互动等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  <w:lang w:val="en-US" w:eastAsia="zh-CN"/>
        </w:rPr>
        <w:t>238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二、主动公开政府信息情况</w:t>
      </w:r>
    </w:p>
    <w:tbl>
      <w:tblPr>
        <w:tblStyle w:val="3"/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200"/>
        <w:gridCol w:w="6"/>
        <w:gridCol w:w="810"/>
        <w:gridCol w:w="12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5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信息内容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制作数量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公开数量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规章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规范性文件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52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信息内容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上一年项目数量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本年增/减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行政许可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其他对外管理服务事项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2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信息内容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上一年项目数量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本年增/减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行政处罚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行政强制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52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信息内容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上一年项目数量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本年增/减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行政事业性收费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52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信息内容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采购项目数量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政府集中采购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31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573.49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三、收到和处理政府信息公开申请情况</w:t>
      </w:r>
    </w:p>
    <w:tbl>
      <w:tblPr>
        <w:tblStyle w:val="3"/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552"/>
        <w:gridCol w:w="1332"/>
        <w:gridCol w:w="516"/>
        <w:gridCol w:w="480"/>
        <w:gridCol w:w="480"/>
        <w:gridCol w:w="516"/>
        <w:gridCol w:w="624"/>
        <w:gridCol w:w="468"/>
        <w:gridCol w:w="4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（本列数据的勾稽关系为：第一项加第二项之和，等于第三项加第四项之和）</w:t>
            </w:r>
          </w:p>
        </w:tc>
        <w:tc>
          <w:tcPr>
            <w:tcW w:w="3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自然人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法人或其他组织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商业企业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科研机构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社会公益组织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法律服务机构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其他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一、本年新收政府信息公开申请数量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二、上年结转政府信息公开申请数量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三、本年度办理结果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ascii="楷体" w:hAnsi="楷体" w:eastAsia="楷体" w:cs="楷体"/>
                <w:sz w:val="12"/>
                <w:szCs w:val="12"/>
              </w:rPr>
              <w:t>（一）予以公开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（二）部分公开（区分处理的，只计这一情形，不计其他情形）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（三）不予公开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1.属于国家秘密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2.其他法律行政法规禁止公开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3.危及“三安全一稳定”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4.保护第三方合法权益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5.属于三类内部事务信息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6.属于四类过程性信息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7.属于行政执法案卷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8.属于行政查询事项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（四）无法提供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1.本机关不掌握相关政府信息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2.没有现成信息需要另行制作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3.补正后申请内容仍不明确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（五）不予处理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1.信访举报投诉类申请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2.重复申请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3.要求提供公开出版物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4.无正当理由大量反复申请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5.要求行政机关确认或重新出具已获取信息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（六）其他处理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楷体" w:hAnsi="楷体" w:eastAsia="楷体" w:cs="楷体"/>
                <w:sz w:val="12"/>
                <w:szCs w:val="12"/>
              </w:rPr>
              <w:t>（七）总计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四、结转下年度继续办理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84"/>
        <w:gridCol w:w="384"/>
        <w:gridCol w:w="384"/>
        <w:gridCol w:w="432"/>
        <w:gridCol w:w="360"/>
        <w:gridCol w:w="384"/>
        <w:gridCol w:w="384"/>
        <w:gridCol w:w="384"/>
        <w:gridCol w:w="384"/>
        <w:gridCol w:w="384"/>
        <w:gridCol w:w="384"/>
        <w:gridCol w:w="384"/>
        <w:gridCol w:w="384"/>
        <w:gridCol w:w="4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行政复议</w:t>
            </w:r>
          </w:p>
        </w:tc>
        <w:tc>
          <w:tcPr>
            <w:tcW w:w="38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结果维持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结果纠正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其他结果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尚未审结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总计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未经复议直接起诉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结果维持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结果纠正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其他结果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尚未审结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总计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结果维持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结果纠正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其他结果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尚未审结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0 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0 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0 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0 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由于监狱工作的特殊性，在执行信息公开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公开是常态、不公开是例外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规定有一定的差距，主要表现在对监狱对政府信息公开的范围不够广、完整性和及时性还有差距、政策解读的范围较狭窄。在下一步的工作中，将进一步深入贯彻落实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92929"/>
          <w:spacing w:val="0"/>
          <w:sz w:val="20"/>
          <w:szCs w:val="20"/>
          <w:shd w:val="clear" w:fill="FFFFFF"/>
        </w:rPr>
        <w:t>《中华人民共和国政府信息公开条例》《贵州省政府信息公开暂行规定》《贵州省监狱系统信息发布暂行规定》，优化配置工作人员，通过业务培训与法律法规学习，不断提高相关人员的业务素质及保密意识，增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信息公开、发布的主动性，强化信息公开的时效性和全面性，进一步规范公开审查工作，提升政务信息公开工作的质量，确保社会公众的知情权、监督权。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A"/>
          <w:spacing w:val="0"/>
          <w:sz w:val="20"/>
          <w:szCs w:val="2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8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暂无其他应报告的事项。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zJhZDY0M2YyZTQ4YWE5MzYxZGI1N2ZkMTllMjkifQ=="/>
  </w:docVars>
  <w:rsids>
    <w:rsidRoot w:val="18165101"/>
    <w:rsid w:val="0B154BBD"/>
    <w:rsid w:val="18165101"/>
    <w:rsid w:val="74A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2024-01-30T06:49:00Z</dcterms:created>
  <dc:creator>伶小伶</dc:creator>
  <cp:lastModifiedBy>伶小伶</cp:lastModifiedBy>
  <dcterms:modified xsi:type="dcterms:W3CDTF">2024-01-30T07:17:18Z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16609B1ADCBA4221A4F7B2E009307264_11</vt:lpwstr>
  </property>
</Properties>
</file>