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ascii="方正小标宋简体" w:hAnsi="方正小标宋简体" w:eastAsia="方正小标宋简体"/>
          <w:sz w:val="44"/>
          <w:szCs w:val="44"/>
        </w:rPr>
      </w:pPr>
      <w:r>
        <w:rPr>
          <w:rFonts w:ascii="方正小标宋简体" w:hAnsi="方正小标宋简体" w:eastAsia="方正小标宋简体"/>
          <w:sz w:val="44"/>
          <w:szCs w:val="44"/>
        </w:rPr>
        <w:t>提请减刑建议书</w:t>
      </w:r>
    </w:p>
    <w:p>
      <w:pPr>
        <w:jc w:val="right"/>
        <w:rPr>
          <w:rFonts w:ascii="楷体" w:hAnsi="楷体" w:eastAsia="楷体"/>
          <w:sz w:val="32"/>
          <w:szCs w:val="32"/>
        </w:rPr>
      </w:pPr>
      <w:r>
        <w:rPr>
          <w:rFonts w:ascii="楷体" w:hAnsi="楷体" w:eastAsia="楷体"/>
          <w:sz w:val="32"/>
          <w:szCs w:val="32"/>
        </w:rPr>
        <w:t>(2024)遵监提请减字第81号</w:t>
      </w:r>
    </w:p>
    <w:p>
      <w:pPr>
        <w:keepNext w:val="0"/>
        <w:keepLines w:val="0"/>
        <w:pageBreakBefore w:val="0"/>
        <w:widowControl w:val="0"/>
        <w:kinsoku/>
        <w:wordWrap/>
        <w:overflowPunct/>
        <w:topLinePunct w:val="0"/>
        <w:autoSpaceDE/>
        <w:autoSpaceDN/>
        <w:bidi w:val="0"/>
        <w:adjustRightInd/>
        <w:snapToGrid w:val="0"/>
        <w:spacing w:line="360" w:lineRule="exact"/>
        <w:ind w:left="210" w:firstLine="640"/>
        <w:textAlignment w:val="auto"/>
        <w:rPr>
          <w:rFonts w:ascii="仿宋_GB2312" w:hAnsi="仿宋_GB2312" w:eastAsia="仿宋_GB2312"/>
          <w:sz w:val="32"/>
          <w:szCs w:val="32"/>
        </w:rPr>
      </w:pPr>
      <w:r>
        <w:rPr>
          <w:rFonts w:ascii="仿宋_GB2312" w:hAnsi="仿宋_GB2312" w:eastAsia="仿宋_GB2312"/>
          <w:sz w:val="32"/>
          <w:szCs w:val="32"/>
        </w:rPr>
        <w:t>罪犯陈志超，男，穿青人，小学文化，贵州省织金县人。现在贵州省遵义监狱服刑。</w:t>
      </w:r>
    </w:p>
    <w:p>
      <w:pPr>
        <w:keepNext w:val="0"/>
        <w:keepLines w:val="0"/>
        <w:pageBreakBefore w:val="0"/>
        <w:widowControl w:val="0"/>
        <w:kinsoku/>
        <w:wordWrap/>
        <w:overflowPunct/>
        <w:topLinePunct w:val="0"/>
        <w:autoSpaceDE/>
        <w:autoSpaceDN/>
        <w:bidi w:val="0"/>
        <w:adjustRightInd/>
        <w:snapToGrid w:val="0"/>
        <w:spacing w:line="360" w:lineRule="exact"/>
        <w:ind w:left="210" w:firstLine="640"/>
        <w:textAlignment w:val="auto"/>
        <w:rPr>
          <w:rFonts w:ascii="仿宋_GB2312" w:hAnsi="仿宋_GB2312" w:eastAsia="仿宋_GB2312"/>
          <w:sz w:val="32"/>
          <w:szCs w:val="32"/>
        </w:rPr>
      </w:pPr>
      <w:r>
        <w:rPr>
          <w:rFonts w:ascii="仿宋_GB2312" w:hAnsi="仿宋_GB2312" w:eastAsia="仿宋_GB2312"/>
          <w:sz w:val="32"/>
          <w:szCs w:val="32"/>
        </w:rPr>
        <w:t>2006年12月18日，贵州省贵阳市中级人民法院作出（2006）筑刑一初字第221号刑事判决，认定陈志超犯运输毒品罪，判处无期徒刑，剥夺政治权利终身，并处没收个人财产人民币二万元。</w:t>
      </w:r>
    </w:p>
    <w:p>
      <w:pPr>
        <w:keepNext w:val="0"/>
        <w:keepLines w:val="0"/>
        <w:pageBreakBefore w:val="0"/>
        <w:widowControl w:val="0"/>
        <w:kinsoku/>
        <w:wordWrap/>
        <w:overflowPunct/>
        <w:topLinePunct w:val="0"/>
        <w:autoSpaceDE/>
        <w:autoSpaceDN/>
        <w:bidi w:val="0"/>
        <w:adjustRightInd/>
        <w:snapToGrid w:val="0"/>
        <w:spacing w:line="360" w:lineRule="exact"/>
        <w:ind w:left="210" w:firstLine="640"/>
        <w:textAlignment w:val="auto"/>
        <w:rPr>
          <w:rFonts w:ascii="仿宋_GB2312" w:hAnsi="仿宋_GB2312" w:eastAsia="仿宋_GB2312"/>
          <w:sz w:val="32"/>
          <w:szCs w:val="32"/>
        </w:rPr>
      </w:pPr>
      <w:r>
        <w:rPr>
          <w:rFonts w:ascii="仿宋_GB2312" w:hAnsi="仿宋_GB2312" w:eastAsia="仿宋_GB2312"/>
          <w:sz w:val="32"/>
          <w:szCs w:val="32"/>
        </w:rPr>
        <w:t>判决发生法律效力后2007年6月11日交付贵阳监狱执行，同年7月19日调入遵义监狱服刑。</w:t>
      </w:r>
    </w:p>
    <w:p>
      <w:pPr>
        <w:keepNext w:val="0"/>
        <w:keepLines w:val="0"/>
        <w:pageBreakBefore w:val="0"/>
        <w:widowControl w:val="0"/>
        <w:kinsoku/>
        <w:wordWrap/>
        <w:overflowPunct/>
        <w:topLinePunct w:val="0"/>
        <w:autoSpaceDE/>
        <w:autoSpaceDN/>
        <w:bidi w:val="0"/>
        <w:adjustRightInd/>
        <w:snapToGrid w:val="0"/>
        <w:spacing w:line="360" w:lineRule="exact"/>
        <w:ind w:left="210" w:firstLine="640"/>
        <w:textAlignment w:val="auto"/>
        <w:rPr>
          <w:rFonts w:ascii="仿宋_GB2312" w:hAnsi="仿宋_GB2312" w:eastAsia="仿宋_GB2312"/>
          <w:sz w:val="32"/>
          <w:szCs w:val="32"/>
        </w:rPr>
      </w:pPr>
      <w:r>
        <w:rPr>
          <w:rFonts w:ascii="仿宋_GB2312" w:hAnsi="仿宋_GB2312" w:eastAsia="仿宋_GB2312"/>
          <w:sz w:val="32"/>
          <w:szCs w:val="32"/>
        </w:rPr>
        <w:t>服刑期间执行刑期变动情况：2010年3月29日经贵州省高级人民法院裁定减为有期徒刑十九年，剥夺政治权利八年；2012年9月25日经贵州省遵义市中级人民法院裁定减去有期徒刑一年六个月；2014年9月12日经贵州省遵义市中级人民法院裁定减去有期徒刑一年六个月；2016年9月26日经贵州省遵义市中级人民法院裁定减去有期徒刑十个月；2019年3月27日经贵州省遵义市中级人民法院裁定减去有期徒刑六个月。刑期2010年3月29日至2024年11月28日。</w:t>
      </w:r>
    </w:p>
    <w:p>
      <w:pPr>
        <w:keepNext w:val="0"/>
        <w:keepLines w:val="0"/>
        <w:pageBreakBefore w:val="0"/>
        <w:widowControl w:val="0"/>
        <w:kinsoku/>
        <w:wordWrap/>
        <w:overflowPunct/>
        <w:topLinePunct w:val="0"/>
        <w:autoSpaceDE/>
        <w:autoSpaceDN/>
        <w:bidi w:val="0"/>
        <w:adjustRightInd/>
        <w:snapToGrid w:val="0"/>
        <w:spacing w:line="360" w:lineRule="exact"/>
        <w:ind w:left="210" w:firstLine="640"/>
        <w:textAlignment w:val="auto"/>
        <w:rPr>
          <w:rFonts w:ascii="仿宋_GB2312" w:hAnsi="仿宋_GB2312" w:eastAsia="仿宋_GB2312"/>
          <w:sz w:val="32"/>
          <w:szCs w:val="32"/>
        </w:rPr>
      </w:pPr>
      <w:r>
        <w:rPr>
          <w:rFonts w:ascii="仿宋_GB2312" w:hAnsi="仿宋_GB2312" w:eastAsia="仿宋_GB2312"/>
          <w:sz w:val="32"/>
          <w:szCs w:val="32"/>
        </w:rPr>
        <w:t>该犯自上次裁定减刑以来,确有悔改（立功）表现，具体事实如下：</w:t>
      </w:r>
    </w:p>
    <w:p>
      <w:pPr>
        <w:keepNext w:val="0"/>
        <w:keepLines w:val="0"/>
        <w:pageBreakBefore w:val="0"/>
        <w:widowControl w:val="0"/>
        <w:kinsoku/>
        <w:wordWrap/>
        <w:overflowPunct/>
        <w:topLinePunct w:val="0"/>
        <w:autoSpaceDE/>
        <w:autoSpaceDN/>
        <w:bidi w:val="0"/>
        <w:adjustRightInd/>
        <w:snapToGrid w:val="0"/>
        <w:spacing w:line="360" w:lineRule="exact"/>
        <w:ind w:left="210" w:firstLine="640"/>
        <w:textAlignment w:val="auto"/>
        <w:rPr>
          <w:rFonts w:ascii="仿宋_GB2312" w:hAnsi="仿宋_GB2312" w:eastAsia="仿宋_GB2312"/>
          <w:sz w:val="32"/>
          <w:szCs w:val="32"/>
        </w:rPr>
      </w:pPr>
      <w:r>
        <w:rPr>
          <w:rFonts w:ascii="仿宋_GB2312" w:hAnsi="仿宋_GB2312" w:eastAsia="仿宋_GB2312"/>
          <w:sz w:val="32"/>
          <w:szCs w:val="32"/>
        </w:rPr>
        <w:t>一、认罪悔罪、遵守法律法规及监规方面：服从法院判决，认罪悔罪；2021年9月28日，与同犯田洪玉在监室因夜间值星问题发生争执时有存在辱骂田洪玉的行为，扣30分。其余时间能基本遵守法律法规及监规纪律，服从管教。</w:t>
      </w:r>
    </w:p>
    <w:p>
      <w:pPr>
        <w:keepNext w:val="0"/>
        <w:keepLines w:val="0"/>
        <w:pageBreakBefore w:val="0"/>
        <w:widowControl w:val="0"/>
        <w:kinsoku/>
        <w:wordWrap/>
        <w:overflowPunct/>
        <w:topLinePunct w:val="0"/>
        <w:autoSpaceDE/>
        <w:autoSpaceDN/>
        <w:bidi w:val="0"/>
        <w:adjustRightInd/>
        <w:snapToGrid w:val="0"/>
        <w:spacing w:line="360" w:lineRule="exact"/>
        <w:ind w:left="210" w:firstLine="640"/>
        <w:textAlignment w:val="auto"/>
        <w:rPr>
          <w:rFonts w:ascii="仿宋_GB2312" w:hAnsi="仿宋_GB2312" w:eastAsia="仿宋_GB2312"/>
          <w:sz w:val="32"/>
          <w:szCs w:val="32"/>
        </w:rPr>
      </w:pPr>
      <w:r>
        <w:rPr>
          <w:rFonts w:ascii="仿宋_GB2312" w:hAnsi="仿宋_GB2312" w:eastAsia="仿宋_GB2312"/>
          <w:sz w:val="32"/>
          <w:szCs w:val="32"/>
        </w:rPr>
        <w:t>二、教育改造方面：积极参加思想、文化、职业技术教育，“三课”学习成绩合格。</w:t>
      </w:r>
    </w:p>
    <w:p>
      <w:pPr>
        <w:keepNext w:val="0"/>
        <w:keepLines w:val="0"/>
        <w:pageBreakBefore w:val="0"/>
        <w:widowControl w:val="0"/>
        <w:kinsoku/>
        <w:wordWrap/>
        <w:overflowPunct/>
        <w:topLinePunct w:val="0"/>
        <w:autoSpaceDE/>
        <w:autoSpaceDN/>
        <w:bidi w:val="0"/>
        <w:adjustRightInd/>
        <w:snapToGrid w:val="0"/>
        <w:spacing w:line="360" w:lineRule="exact"/>
        <w:ind w:left="210" w:firstLine="640"/>
        <w:textAlignment w:val="auto"/>
        <w:rPr>
          <w:rFonts w:ascii="仿宋_GB2312" w:hAnsi="仿宋_GB2312" w:eastAsia="仿宋_GB2312"/>
          <w:sz w:val="32"/>
          <w:szCs w:val="32"/>
        </w:rPr>
      </w:pPr>
      <w:r>
        <w:rPr>
          <w:rFonts w:ascii="仿宋_GB2312" w:hAnsi="仿宋_GB2312" w:eastAsia="仿宋_GB2312"/>
          <w:sz w:val="32"/>
          <w:szCs w:val="32"/>
        </w:rPr>
        <w:t>三、劳动改造方面：能积极参加劳动，按时完成劳动任务。</w:t>
      </w:r>
    </w:p>
    <w:p>
      <w:pPr>
        <w:keepNext w:val="0"/>
        <w:keepLines w:val="0"/>
        <w:pageBreakBefore w:val="0"/>
        <w:widowControl w:val="0"/>
        <w:kinsoku/>
        <w:wordWrap/>
        <w:overflowPunct/>
        <w:topLinePunct w:val="0"/>
        <w:autoSpaceDE/>
        <w:autoSpaceDN/>
        <w:bidi w:val="0"/>
        <w:adjustRightInd/>
        <w:snapToGrid w:val="0"/>
        <w:spacing w:line="360" w:lineRule="exact"/>
        <w:ind w:left="210" w:firstLine="640"/>
        <w:textAlignment w:val="auto"/>
        <w:rPr>
          <w:rFonts w:ascii="仿宋_GB2312" w:hAnsi="仿宋_GB2312" w:eastAsia="仿宋_GB2312"/>
          <w:sz w:val="32"/>
          <w:szCs w:val="32"/>
        </w:rPr>
      </w:pPr>
      <w:r>
        <w:rPr>
          <w:rFonts w:ascii="仿宋_GB2312" w:hAnsi="仿宋_GB2312" w:eastAsia="仿宋_GB2312"/>
          <w:sz w:val="32"/>
          <w:szCs w:val="32"/>
        </w:rPr>
        <w:t>四、履行财产性判项方面：没收个人财产人民币20000元(未执行)。狱内账户余额：94.84元，狱内月均消费：165.57元。</w:t>
      </w:r>
    </w:p>
    <w:p>
      <w:pPr>
        <w:keepNext w:val="0"/>
        <w:keepLines w:val="0"/>
        <w:pageBreakBefore w:val="0"/>
        <w:widowControl w:val="0"/>
        <w:kinsoku/>
        <w:wordWrap/>
        <w:overflowPunct/>
        <w:topLinePunct w:val="0"/>
        <w:autoSpaceDE/>
        <w:autoSpaceDN/>
        <w:bidi w:val="0"/>
        <w:adjustRightInd/>
        <w:snapToGrid w:val="0"/>
        <w:spacing w:line="360" w:lineRule="exact"/>
        <w:ind w:left="210" w:firstLine="640"/>
        <w:textAlignment w:val="auto"/>
        <w:rPr>
          <w:rFonts w:ascii="仿宋_GB2312" w:hAnsi="仿宋_GB2312" w:eastAsia="仿宋_GB2312"/>
          <w:sz w:val="32"/>
          <w:szCs w:val="32"/>
        </w:rPr>
      </w:pPr>
      <w:r>
        <w:rPr>
          <w:rFonts w:ascii="仿宋_GB2312" w:hAnsi="仿宋_GB2312" w:eastAsia="仿宋_GB2312"/>
          <w:sz w:val="32"/>
          <w:szCs w:val="32"/>
        </w:rPr>
        <w:t>五、考核奖励情况：2018年5月至2018年9月获1个表扬；2018年10月至2019年2月获1个表扬；2019年3月至2019年8月获1个表扬；2019年9月至2020年2月获1个表扬；2020年3月至2020年7月获1个表扬；2020年8月至2020年12月获1个表扬；2021年1月至2021年5月获1个表扬；2021年6月至2021年11月获物质奖励1次；2021年12月至2022年5月获1个表扬；2022年6月至2022年11月获1个表扬；2022年12月至2023年5月获1个表扬；获得共10个表扬。</w:t>
      </w:r>
    </w:p>
    <w:p>
      <w:pPr>
        <w:keepNext w:val="0"/>
        <w:keepLines w:val="0"/>
        <w:pageBreakBefore w:val="0"/>
        <w:widowControl w:val="0"/>
        <w:kinsoku/>
        <w:wordWrap/>
        <w:overflowPunct/>
        <w:topLinePunct w:val="0"/>
        <w:autoSpaceDE/>
        <w:autoSpaceDN/>
        <w:bidi w:val="0"/>
        <w:adjustRightInd/>
        <w:snapToGrid w:val="0"/>
        <w:spacing w:line="360" w:lineRule="exact"/>
        <w:ind w:left="210" w:firstLine="640"/>
        <w:textAlignment w:val="auto"/>
        <w:rPr>
          <w:rFonts w:ascii="仿宋_GB2312" w:hAnsi="仿宋_GB2312" w:eastAsia="仿宋_GB2312"/>
          <w:sz w:val="32"/>
          <w:szCs w:val="32"/>
        </w:rPr>
      </w:pPr>
      <w:r>
        <w:rPr>
          <w:rFonts w:ascii="仿宋_GB2312" w:hAnsi="仿宋_GB2312" w:eastAsia="仿宋_GB2312"/>
          <w:sz w:val="32"/>
          <w:szCs w:val="32"/>
        </w:rPr>
        <w:t>扣分及违规情况：2021年9月28日，陈志超与田洪玉因夜间值星问题发生争执，陈志超存在辱骂田洪玉的行为，扣30分。</w:t>
      </w:r>
    </w:p>
    <w:p>
      <w:pPr>
        <w:keepNext w:val="0"/>
        <w:keepLines w:val="0"/>
        <w:pageBreakBefore w:val="0"/>
        <w:widowControl w:val="0"/>
        <w:kinsoku/>
        <w:wordWrap/>
        <w:overflowPunct/>
        <w:topLinePunct w:val="0"/>
        <w:autoSpaceDE/>
        <w:autoSpaceDN/>
        <w:bidi w:val="0"/>
        <w:adjustRightInd/>
        <w:snapToGrid w:val="0"/>
        <w:spacing w:line="360" w:lineRule="exact"/>
        <w:ind w:left="210" w:firstLine="640"/>
        <w:textAlignment w:val="auto"/>
        <w:rPr>
          <w:rFonts w:ascii="仿宋_GB2312" w:hAnsi="仿宋_GB2312" w:eastAsia="仿宋_GB2312"/>
          <w:sz w:val="32"/>
          <w:szCs w:val="32"/>
        </w:rPr>
      </w:pPr>
      <w:r>
        <w:rPr>
          <w:rFonts w:ascii="仿宋_GB2312" w:hAnsi="仿宋_GB2312" w:eastAsia="仿宋_GB2312"/>
          <w:sz w:val="32"/>
          <w:szCs w:val="32"/>
        </w:rPr>
        <w:t>从严情形：累犯；毒品再犯；财产性判项未执行。</w:t>
      </w:r>
    </w:p>
    <w:p>
      <w:pPr>
        <w:keepNext w:val="0"/>
        <w:keepLines w:val="0"/>
        <w:pageBreakBefore w:val="0"/>
        <w:widowControl w:val="0"/>
        <w:kinsoku/>
        <w:wordWrap/>
        <w:overflowPunct/>
        <w:topLinePunct w:val="0"/>
        <w:autoSpaceDE/>
        <w:autoSpaceDN/>
        <w:bidi w:val="0"/>
        <w:adjustRightInd/>
        <w:snapToGrid w:val="0"/>
        <w:spacing w:line="360" w:lineRule="exact"/>
        <w:ind w:left="210" w:firstLine="640"/>
        <w:textAlignment w:val="auto"/>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00000A"/>
        </w:rPr>
        <w:t>符合减刑条件，同意提请减刑。</w:t>
      </w:r>
    </w:p>
    <w:p>
      <w:pPr>
        <w:keepNext w:val="0"/>
        <w:keepLines w:val="0"/>
        <w:pageBreakBefore w:val="0"/>
        <w:widowControl w:val="0"/>
        <w:kinsoku/>
        <w:wordWrap/>
        <w:overflowPunct/>
        <w:topLinePunct w:val="0"/>
        <w:autoSpaceDE/>
        <w:autoSpaceDN/>
        <w:bidi w:val="0"/>
        <w:adjustRightInd/>
        <w:snapToGrid w:val="0"/>
        <w:spacing w:line="360" w:lineRule="exact"/>
        <w:ind w:left="210" w:firstLine="640"/>
        <w:textAlignment w:val="auto"/>
        <w:rPr>
          <w:rFonts w:ascii="仿宋_GB2312" w:hAnsi="仿宋_GB2312" w:eastAsia="仿宋_GB2312"/>
          <w:sz w:val="32"/>
          <w:szCs w:val="32"/>
        </w:rPr>
      </w:pPr>
      <w:r>
        <w:rPr>
          <w:rFonts w:ascii="仿宋_GB2312" w:hAnsi="仿宋_GB2312" w:eastAsia="仿宋_GB2312"/>
          <w:sz w:val="32"/>
          <w:szCs w:val="32"/>
        </w:rPr>
        <w:t>综上所述，罪犯陈志超在服刑改造期间，能认真遵守监规，接受教育改造，确有悔改表现。</w:t>
      </w:r>
    </w:p>
    <w:p>
      <w:pPr>
        <w:keepNext w:val="0"/>
        <w:keepLines w:val="0"/>
        <w:pageBreakBefore w:val="0"/>
        <w:widowControl w:val="0"/>
        <w:kinsoku/>
        <w:wordWrap/>
        <w:overflowPunct/>
        <w:topLinePunct w:val="0"/>
        <w:autoSpaceDE/>
        <w:autoSpaceDN/>
        <w:bidi w:val="0"/>
        <w:adjustRightInd/>
        <w:snapToGrid w:val="0"/>
        <w:spacing w:line="360" w:lineRule="exact"/>
        <w:ind w:left="210" w:firstLine="640"/>
        <w:textAlignment w:val="auto"/>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w:t>
      </w:r>
      <w:bookmarkStart w:id="0" w:name="_GoBack"/>
      <w:bookmarkEnd w:id="0"/>
      <w:r>
        <w:rPr>
          <w:rFonts w:ascii="仿宋_GB2312" w:hAnsi="仿宋_GB2312" w:eastAsia="仿宋_GB2312"/>
          <w:sz w:val="32"/>
          <w:szCs w:val="32"/>
        </w:rPr>
        <w:t>狱法》第二十九条之规定，经征求检察机关意见，建议对罪犯陈志超提请减去有期徒刑五个月，剥夺政治权利八年不变。特提请裁定。</w:t>
      </w:r>
    </w:p>
    <w:p>
      <w:pPr>
        <w:pStyle w:val="3"/>
        <w:keepNext w:val="0"/>
        <w:keepLines w:val="0"/>
        <w:pageBreakBefore w:val="0"/>
        <w:widowControl w:val="0"/>
        <w:kinsoku/>
        <w:wordWrap/>
        <w:overflowPunct/>
        <w:topLinePunct w:val="0"/>
        <w:autoSpaceDE/>
        <w:autoSpaceDN/>
        <w:bidi w:val="0"/>
        <w:adjustRightInd/>
        <w:snapToGrid w:val="0"/>
        <w:spacing w:line="360" w:lineRule="exact"/>
        <w:ind w:left="210" w:firstLine="200"/>
        <w:textAlignment w:val="auto"/>
        <w:rPr>
          <w:rFonts w:ascii="仿宋_GB2312" w:hAnsi="仿宋_GB2312" w:eastAsia="仿宋_GB2312"/>
          <w:sz w:val="32"/>
          <w:szCs w:val="32"/>
        </w:rPr>
      </w:pPr>
      <w:r>
        <w:rPr>
          <w:rFonts w:ascii="仿宋_GB2312" w:hAnsi="仿宋_GB2312" w:eastAsia="仿宋_GB2312"/>
          <w:sz w:val="32"/>
          <w:szCs w:val="32"/>
        </w:rPr>
        <w:t>此致</w:t>
      </w:r>
    </w:p>
    <w:p>
      <w:pPr>
        <w:pStyle w:val="3"/>
        <w:keepNext w:val="0"/>
        <w:keepLines w:val="0"/>
        <w:pageBreakBefore w:val="0"/>
        <w:widowControl w:val="0"/>
        <w:kinsoku/>
        <w:wordWrap/>
        <w:overflowPunct/>
        <w:topLinePunct w:val="0"/>
        <w:autoSpaceDE/>
        <w:autoSpaceDN/>
        <w:bidi w:val="0"/>
        <w:adjustRightInd/>
        <w:snapToGrid w:val="0"/>
        <w:spacing w:line="360" w:lineRule="exact"/>
        <w:ind w:left="210" w:firstLine="200"/>
        <w:textAlignment w:val="auto"/>
        <w:rPr>
          <w:rFonts w:ascii="仿宋_GB2312" w:hAnsi="仿宋_GB2312" w:eastAsia="仿宋_GB2312"/>
          <w:sz w:val="32"/>
          <w:szCs w:val="32"/>
        </w:rPr>
      </w:pPr>
      <w:r>
        <w:rPr>
          <w:rFonts w:ascii="仿宋_GB2312" w:hAnsi="仿宋_GB2312" w:eastAsia="仿宋_GB2312"/>
          <w:sz w:val="32"/>
          <w:szCs w:val="32"/>
        </w:rPr>
        <w:t>遵义市中级人民法院</w:t>
      </w:r>
    </w:p>
    <w:tbl>
      <w:tblPr>
        <w:tblStyle w:val="1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5"/>
        <w:gridCol w:w="3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7" w:hRule="atLeast"/>
        </w:trPr>
        <w:tc>
          <w:tcPr>
            <w:tcW w:w="4814" w:type="dxa"/>
            <w:tcBorders>
              <w:top w:val="nil"/>
              <w:left w:val="nil"/>
              <w:right w:val="nil"/>
              <w:insideV w:val="nil"/>
            </w:tcBorders>
            <w:shd w:val="clear" w:color="auto" w:fill="auto"/>
          </w:tcPr>
          <w:p>
            <w:pPr>
              <w:rPr>
                <w:rFonts w:ascii="仿宋" w:hAnsi="仿宋" w:eastAsia="仿宋"/>
                <w:sz w:val="30"/>
                <w:szCs w:val="30"/>
              </w:rPr>
            </w:pPr>
          </w:p>
        </w:tc>
        <w:tc>
          <w:tcPr>
            <w:tcW w:w="3481" w:type="dxa"/>
            <w:tcBorders>
              <w:top w:val="nil"/>
              <w:left w:val="nil"/>
              <w:right w:val="nil"/>
              <w:insideV w:val="nil"/>
            </w:tcBorders>
            <w:shd w:val="clear" w:color="auto" w:fill="auto"/>
            <w:vAlign w:val="center"/>
          </w:tcPr>
          <w:p>
            <w:pPr>
              <w:jc w:val="center"/>
              <w:rPr>
                <w:rFonts w:ascii="仿宋_GB2312" w:hAnsi="仿宋_GB2312" w:eastAsia="仿宋_GB2312"/>
                <w:sz w:val="30"/>
                <w:szCs w:val="30"/>
              </w:rPr>
            </w:pPr>
          </w:p>
          <w:p>
            <w:pPr>
              <w:jc w:val="center"/>
              <w:rPr>
                <w:rFonts w:ascii="仿宋_GB2312" w:hAnsi="仿宋_GB2312" w:eastAsia="仿宋_GB2312"/>
                <w:sz w:val="30"/>
                <w:szCs w:val="30"/>
              </w:rPr>
            </w:pPr>
          </w:p>
          <w:p>
            <w:pPr>
              <w:jc w:val="center"/>
              <w:rPr>
                <w:rFonts w:ascii="仿宋_GB2312" w:hAnsi="仿宋_GB2312" w:eastAsia="仿宋_GB2312"/>
                <w:sz w:val="30"/>
                <w:szCs w:val="30"/>
              </w:rPr>
            </w:pPr>
          </w:p>
          <w:p>
            <w:pPr>
              <w:jc w:val="center"/>
              <w:rPr>
                <w:rFonts w:ascii="仿宋_GB2312" w:hAnsi="仿宋_GB2312" w:eastAsia="仿宋_GB2312"/>
                <w:sz w:val="32"/>
                <w:szCs w:val="32"/>
              </w:rPr>
            </w:pPr>
            <w:r>
              <w:rPr>
                <w:rFonts w:ascii="仿宋_GB2312" w:hAnsi="仿宋_GB2312" w:eastAsia="仿宋_GB2312"/>
                <w:sz w:val="32"/>
                <w:szCs w:val="32"/>
              </w:rPr>
              <w:t>（公章）</w:t>
            </w:r>
          </w:p>
          <w:p>
            <w:pPr>
              <w:jc w:val="center"/>
              <w:rPr>
                <w:rFonts w:ascii="仿宋" w:hAnsi="仿宋" w:eastAsia="仿宋"/>
                <w:sz w:val="30"/>
                <w:szCs w:val="30"/>
              </w:rPr>
            </w:pPr>
            <w:r>
              <w:rPr>
                <w:rFonts w:ascii="仿宋_GB2312" w:hAnsi="仿宋_GB2312" w:eastAsia="仿宋_GB2312"/>
                <w:sz w:val="32"/>
                <w:szCs w:val="32"/>
              </w:rPr>
              <w:t>2024年4月26日</w:t>
            </w:r>
          </w:p>
        </w:tc>
      </w:tr>
    </w:tbl>
    <w:p/>
    <w:sectPr>
      <w:pgSz w:w="11906" w:h="16838"/>
      <w:pgMar w:top="1440" w:right="1800" w:bottom="1440" w:left="1800" w:header="0" w:footer="0" w:gutter="0"/>
      <w:pgNumType w:fmt="decimal"/>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roman"/>
    <w:pitch w:val="default"/>
    <w:sig w:usb0="A00002BF" w:usb1="38CF7CFA" w:usb2="00000016" w:usb3="00000000" w:csb0="0004000F" w:csb1="00000000"/>
  </w:font>
  <w:font w:name="仿宋">
    <w:panose1 w:val="02010609060101010101"/>
    <w:charset w:val="86"/>
    <w:family w:val="roman"/>
    <w:pitch w:val="default"/>
    <w:sig w:usb0="800002BF" w:usb1="38CF7CFA" w:usb2="00000016" w:usb3="00000000" w:csb0="00040001" w:csb1="00000000"/>
  </w:font>
  <w:font w:name="Liberation Sans">
    <w:altName w:val="Arial"/>
    <w:panose1 w:val="00000000000000000000"/>
    <w:charset w:val="01"/>
    <w:family w:val="swiss"/>
    <w:pitch w:val="default"/>
    <w:sig w:usb0="00000000" w:usb1="00000000" w:usb2="00000000" w:usb3="00000000" w:csb0="00000000" w:csb1="00000000"/>
  </w:font>
  <w:font w:name="文泉驿点阵正黑">
    <w:altName w:val="黑体"/>
    <w:panose1 w:val="00000000000000000000"/>
    <w:charset w:val="00"/>
    <w:family w:val="auto"/>
    <w:pitch w:val="default"/>
    <w:sig w:usb0="00000000" w:usb1="00000000" w:usb2="00000000" w:usb3="00000000" w:csb0="00000000" w:csb1="00000000"/>
  </w:font>
  <w:font w:name="Lohit Devanagari">
    <w:altName w:val="Segoe Print"/>
    <w:panose1 w:val="00000000000000000000"/>
    <w:charset w:val="00"/>
    <w:family w:val="auto"/>
    <w:pitch w:val="default"/>
    <w:sig w:usb0="00000000" w:usb1="00000000" w:usb2="00000000" w:usb3="00000000" w:csb0="00000000" w:csb1="00000000"/>
  </w:font>
  <w:font w:name="方正小标宋简体">
    <w:panose1 w:val="02010601030101010101"/>
    <w:charset w:val="86"/>
    <w:family w:val="roman"/>
    <w:pitch w:val="default"/>
    <w:sig w:usb0="00000001" w:usb1="080E0000" w:usb2="00000000" w:usb3="00000000" w:csb0="00040000" w:csb1="00000000"/>
  </w:font>
  <w:font w:name="楷体">
    <w:panose1 w:val="02010609060101010101"/>
    <w:charset w:val="86"/>
    <w:family w:val="roman"/>
    <w:pitch w:val="default"/>
    <w:sig w:usb0="800002BF" w:usb1="38CF7CFA" w:usb2="00000016" w:usb3="00000000" w:csb0="00040001" w:csb1="00000000"/>
  </w:font>
  <w:font w:name="仿宋_GB2312">
    <w:panose1 w:val="02010609030101010101"/>
    <w:charset w:val="86"/>
    <w:family w:val="roma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nforcement="0"/>
  <w:defaultTabStop w:val="420"/>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960564B"/>
  </w:rsids>
  <m:mathPr>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iPriority="99" w:semiHidden="0"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bidi w:val="0"/>
      <w:jc w:val="both"/>
    </w:pPr>
    <w:rPr>
      <w:rFonts w:asciiTheme="minorHAnsi" w:hAnsiTheme="minorHAnsi" w:eastAsiaTheme="minorEastAsia" w:cstheme="minorBidi"/>
      <w:color w:val="auto"/>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qFormat/>
    <w:uiPriority w:val="0"/>
    <w:pPr>
      <w:suppressLineNumbers/>
      <w:spacing w:before="120" w:after="120"/>
    </w:pPr>
    <w:rPr>
      <w:rFonts w:cs="Lohit Devanagari"/>
      <w:i/>
      <w:iCs/>
      <w:sz w:val="24"/>
      <w:szCs w:val="24"/>
    </w:rPr>
  </w:style>
  <w:style w:type="paragraph" w:styleId="3">
    <w:name w:val="Salutation"/>
    <w:basedOn w:val="1"/>
    <w:next w:val="1"/>
    <w:unhideWhenUsed/>
    <w:qFormat/>
    <w:uiPriority w:val="99"/>
    <w:rPr>
      <w:rFonts w:ascii="仿宋" w:hAnsi="仿宋" w:eastAsia="仿宋"/>
      <w:sz w:val="30"/>
      <w:szCs w:val="30"/>
    </w:rPr>
  </w:style>
  <w:style w:type="paragraph" w:styleId="4">
    <w:name w:val="Closing"/>
    <w:basedOn w:val="1"/>
    <w:unhideWhenUsed/>
    <w:qFormat/>
    <w:uiPriority w:val="99"/>
    <w:pPr>
      <w:ind w:left="100" w:firstLine="0"/>
    </w:pPr>
    <w:rPr>
      <w:rFonts w:ascii="仿宋" w:hAnsi="仿宋" w:eastAsia="仿宋"/>
      <w:sz w:val="30"/>
      <w:szCs w:val="30"/>
    </w:rPr>
  </w:style>
  <w:style w:type="paragraph" w:styleId="5">
    <w:name w:val="Body Text"/>
    <w:basedOn w:val="1"/>
    <w:uiPriority w:val="0"/>
    <w:pPr>
      <w:spacing w:before="0" w:after="140" w:line="288" w:lineRule="auto"/>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00000A" w:sz="6" w:space="1"/>
      </w:pBdr>
      <w:tabs>
        <w:tab w:val="center" w:pos="4153"/>
        <w:tab w:val="right" w:pos="8306"/>
      </w:tabs>
      <w:snapToGrid w:val="0"/>
      <w:jc w:val="center"/>
    </w:pPr>
    <w:rPr>
      <w:sz w:val="18"/>
      <w:szCs w:val="18"/>
    </w:rPr>
  </w:style>
  <w:style w:type="paragraph" w:styleId="8">
    <w:name w:val="List"/>
    <w:basedOn w:val="5"/>
    <w:qFormat/>
    <w:uiPriority w:val="0"/>
    <w:rPr>
      <w:rFonts w:cs="Lohit Devanagari"/>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basedOn w:val="11"/>
    <w:qFormat/>
    <w:uiPriority w:val="99"/>
    <w:rPr>
      <w:sz w:val="18"/>
      <w:szCs w:val="18"/>
    </w:rPr>
  </w:style>
  <w:style w:type="character" w:customStyle="1" w:styleId="13">
    <w:name w:val="页脚 字符"/>
    <w:basedOn w:val="11"/>
    <w:qFormat/>
    <w:uiPriority w:val="99"/>
    <w:rPr>
      <w:sz w:val="18"/>
      <w:szCs w:val="18"/>
    </w:rPr>
  </w:style>
  <w:style w:type="character" w:customStyle="1" w:styleId="14">
    <w:name w:val="称呼 字符"/>
    <w:basedOn w:val="11"/>
    <w:qFormat/>
    <w:uiPriority w:val="99"/>
    <w:rPr>
      <w:rFonts w:ascii="仿宋" w:hAnsi="仿宋" w:eastAsia="仿宋"/>
      <w:sz w:val="30"/>
      <w:szCs w:val="30"/>
    </w:rPr>
  </w:style>
  <w:style w:type="character" w:customStyle="1" w:styleId="15">
    <w:name w:val="结束语 字符"/>
    <w:basedOn w:val="11"/>
    <w:qFormat/>
    <w:uiPriority w:val="99"/>
    <w:rPr>
      <w:rFonts w:ascii="仿宋" w:hAnsi="仿宋" w:eastAsia="仿宋"/>
      <w:sz w:val="30"/>
      <w:szCs w:val="30"/>
    </w:rPr>
  </w:style>
  <w:style w:type="paragraph" w:customStyle="1" w:styleId="16">
    <w:name w:val="Heading"/>
    <w:basedOn w:val="1"/>
    <w:next w:val="5"/>
    <w:qFormat/>
    <w:uiPriority w:val="0"/>
    <w:pPr>
      <w:keepNext/>
      <w:spacing w:before="240" w:after="120"/>
    </w:pPr>
    <w:rPr>
      <w:rFonts w:ascii="Liberation Sans" w:hAnsi="Liberation Sans" w:eastAsia="文泉驿点阵正黑" w:cs="Lohit Devanagari"/>
      <w:sz w:val="28"/>
      <w:szCs w:val="28"/>
    </w:rPr>
  </w:style>
  <w:style w:type="paragraph" w:customStyle="1" w:styleId="17">
    <w:name w:val="Index"/>
    <w:basedOn w:val="1"/>
    <w:qFormat/>
    <w:uiPriority w:val="0"/>
    <w:pPr>
      <w:suppressLineNumbers/>
    </w:pPr>
    <w:rPr>
      <w:rFonts w:cs="Lohit Devanaga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28</Words>
  <Characters>160</Characters>
  <Paragraphs>1</Paragraphs>
  <TotalTime>77</TotalTime>
  <ScaleCrop>false</ScaleCrop>
  <LinksUpToDate>false</LinksUpToDate>
  <CharactersWithSpaces>187</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2022-10-06T01:49:00Z</dcterms:created>
  <dc:creator>曾 三</dc:creator>
  <cp:lastModifiedBy>Lenovo</cp:lastModifiedBy>
  <dcterms:modified xsi:type="dcterms:W3CDTF">2024-05-31T02:09:26Z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2052-11.1.0.10314</vt:lpwstr>
  </property>
</Properties>
</file>