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Ansi="方正小标宋简体" w:asciiTheme="majorHAnsi" w:eastAsiaTheme="majorHAnsi"/>
          <w:b/>
          <w:sz w:val="44"/>
          <w:szCs w:val="44"/>
        </w:rPr>
      </w:pPr>
      <w:r>
        <w:rPr>
          <w:rFonts w:hAnsi="方正小标宋简体" w:asciiTheme="majorHAnsi" w:eastAsiaTheme="majorHAnsi"/>
          <w:b/>
          <w:sz w:val="44"/>
          <w:szCs w:val="44"/>
        </w:rPr>
        <w:t>提请减刑建议书</w:t>
      </w:r>
    </w:p>
    <w:p>
      <w:pPr>
        <w:jc w:val="right"/>
        <w:rPr>
          <w:rFonts w:ascii="楷体" w:hAnsi="楷体" w:eastAsia="楷体"/>
          <w:sz w:val="32"/>
          <w:szCs w:val="32"/>
        </w:rPr>
      </w:pPr>
      <w:r>
        <w:rPr>
          <w:rFonts w:ascii="楷体" w:hAnsi="楷体" w:eastAsia="楷体"/>
          <w:sz w:val="32"/>
          <w:szCs w:val="32"/>
        </w:rPr>
        <w:t>(2024)遵义监狱死缓、无期减字第38号</w:t>
      </w:r>
    </w:p>
    <w:p>
      <w:pPr>
        <w:snapToGrid w:val="0"/>
        <w:spacing w:line="440" w:lineRule="exact"/>
        <w:ind w:firstLine="640"/>
        <w:rPr>
          <w:rFonts w:ascii="仿宋" w:hAnsi="仿宋" w:eastAsia="仿宋"/>
          <w:sz w:val="32"/>
          <w:szCs w:val="32"/>
        </w:rPr>
      </w:pPr>
      <w:r>
        <w:rPr>
          <w:rFonts w:ascii="仿宋" w:hAnsi="仿宋" w:eastAsia="仿宋"/>
          <w:sz w:val="32"/>
          <w:szCs w:val="32"/>
        </w:rPr>
        <w:t>罪犯黄达，男，1982年11月21日生，汉族，小学文化，贵州省桐梓县人。现在贵州省遵义监狱服刑。</w:t>
      </w:r>
    </w:p>
    <w:p>
      <w:pPr>
        <w:snapToGrid w:val="0"/>
        <w:spacing w:line="440" w:lineRule="exact"/>
        <w:ind w:firstLine="640"/>
        <w:rPr>
          <w:rFonts w:ascii="仿宋" w:hAnsi="仿宋" w:eastAsia="仿宋"/>
          <w:sz w:val="32"/>
          <w:szCs w:val="32"/>
        </w:rPr>
      </w:pPr>
      <w:r>
        <w:rPr>
          <w:rFonts w:ascii="仿宋" w:hAnsi="仿宋" w:eastAsia="仿宋"/>
          <w:sz w:val="32"/>
          <w:szCs w:val="32"/>
        </w:rPr>
        <w:t>2017年12月8日，贵州省遵义市中级人民法院作出（2017）黔03刑初48号刑事判决，认定黄达犯贩卖、运输毒品罪，判处死刑、缓期二年执行，剥夺政治权利终身，没收个人全部财产。该犯不服，提出上诉。2018年3月12日，贵州省高级人民法院作出（2018）黔刑终71号刑事裁定，准许撤回上诉。死刑缓期执行期：自2018年4月13</w:t>
      </w:r>
      <w:bookmarkStart w:id="0" w:name="_GoBack"/>
      <w:bookmarkEnd w:id="0"/>
      <w:r>
        <w:rPr>
          <w:rFonts w:ascii="仿宋" w:hAnsi="仿宋" w:eastAsia="仿宋"/>
          <w:sz w:val="32"/>
          <w:szCs w:val="32"/>
        </w:rPr>
        <w:t>日起至2020年4月12日止。</w:t>
      </w:r>
    </w:p>
    <w:p>
      <w:pPr>
        <w:snapToGrid w:val="0"/>
        <w:spacing w:line="440" w:lineRule="exact"/>
        <w:ind w:firstLine="640"/>
        <w:rPr>
          <w:rFonts w:ascii="仿宋" w:hAnsi="仿宋" w:eastAsia="仿宋"/>
          <w:sz w:val="32"/>
          <w:szCs w:val="32"/>
        </w:rPr>
      </w:pPr>
      <w:r>
        <w:rPr>
          <w:rFonts w:ascii="仿宋" w:hAnsi="仿宋" w:eastAsia="仿宋"/>
          <w:sz w:val="32"/>
          <w:szCs w:val="32"/>
        </w:rPr>
        <w:t>判决发生法律效力后于2018年4月17日交付贵州省遵义监狱执行。</w:t>
      </w:r>
    </w:p>
    <w:p>
      <w:pPr>
        <w:snapToGrid w:val="0"/>
        <w:spacing w:line="440" w:lineRule="exact"/>
        <w:ind w:firstLine="640"/>
        <w:rPr>
          <w:rFonts w:ascii="仿宋" w:hAnsi="仿宋" w:eastAsia="仿宋"/>
          <w:sz w:val="32"/>
          <w:szCs w:val="32"/>
        </w:rPr>
      </w:pPr>
      <w:r>
        <w:rPr>
          <w:rFonts w:ascii="仿宋" w:hAnsi="仿宋" w:eastAsia="仿宋"/>
          <w:sz w:val="32"/>
          <w:szCs w:val="32"/>
        </w:rPr>
        <w:t>服刑期间执行刑期变动情况：2020年12月16日经贵州省高级人民法院裁定减为无期徒刑，剥夺政治权利终身不变。</w:t>
      </w:r>
    </w:p>
    <w:p>
      <w:pPr>
        <w:snapToGrid w:val="0"/>
        <w:spacing w:line="440" w:lineRule="exact"/>
        <w:ind w:firstLine="640"/>
        <w:rPr>
          <w:rFonts w:ascii="仿宋" w:hAnsi="仿宋" w:eastAsia="仿宋"/>
          <w:sz w:val="32"/>
          <w:szCs w:val="32"/>
        </w:rPr>
      </w:pPr>
      <w:r>
        <w:rPr>
          <w:rFonts w:ascii="仿宋" w:hAnsi="仿宋" w:eastAsia="仿宋"/>
          <w:sz w:val="32"/>
          <w:szCs w:val="32"/>
        </w:rPr>
        <w:t>该犯自上次裁定减刑以来，确有悔改表现，具体事实如下：</w:t>
      </w:r>
    </w:p>
    <w:p>
      <w:pPr>
        <w:snapToGrid w:val="0"/>
        <w:spacing w:line="440" w:lineRule="exact"/>
        <w:ind w:firstLine="640"/>
        <w:rPr>
          <w:rFonts w:ascii="仿宋" w:hAnsi="仿宋" w:eastAsia="仿宋"/>
          <w:sz w:val="32"/>
          <w:szCs w:val="32"/>
        </w:rPr>
      </w:pPr>
      <w:r>
        <w:rPr>
          <w:rFonts w:ascii="仿宋" w:hAnsi="仿宋" w:eastAsia="仿宋"/>
          <w:sz w:val="32"/>
          <w:szCs w:val="32"/>
        </w:rPr>
        <w:t>一、认罪悔罪方面：罪犯黄达在服刑期间，能服从法院判决，认罪悔罪。</w:t>
      </w:r>
    </w:p>
    <w:p>
      <w:pPr>
        <w:snapToGrid w:val="0"/>
        <w:spacing w:line="440" w:lineRule="exact"/>
        <w:ind w:firstLine="640"/>
        <w:rPr>
          <w:rFonts w:ascii="仿宋" w:hAnsi="仿宋" w:eastAsia="仿宋"/>
          <w:sz w:val="32"/>
          <w:szCs w:val="32"/>
        </w:rPr>
      </w:pPr>
      <w:r>
        <w:rPr>
          <w:rFonts w:ascii="仿宋" w:hAnsi="仿宋" w:eastAsia="仿宋"/>
          <w:sz w:val="32"/>
          <w:szCs w:val="32"/>
        </w:rPr>
        <w:t>二、遵守法律法规及监规方面：罪犯黄达在服刑期间，认真遵守法律法规及监规纪律，服从管教。</w:t>
      </w:r>
    </w:p>
    <w:p>
      <w:pPr>
        <w:snapToGrid w:val="0"/>
        <w:spacing w:line="440" w:lineRule="exact"/>
        <w:ind w:firstLine="640"/>
        <w:rPr>
          <w:rFonts w:ascii="仿宋" w:hAnsi="仿宋" w:eastAsia="仿宋"/>
          <w:sz w:val="32"/>
          <w:szCs w:val="32"/>
        </w:rPr>
      </w:pPr>
      <w:r>
        <w:rPr>
          <w:rFonts w:ascii="仿宋" w:hAnsi="仿宋" w:eastAsia="仿宋"/>
          <w:sz w:val="32"/>
          <w:szCs w:val="32"/>
        </w:rPr>
        <w:t>三、教育改造方面：能接受教育改造，积极参加思想、文化、职业技术教育，“三课”学习成绩合格。</w:t>
      </w:r>
    </w:p>
    <w:p>
      <w:pPr>
        <w:snapToGrid w:val="0"/>
        <w:spacing w:line="440" w:lineRule="exact"/>
        <w:ind w:firstLine="640"/>
        <w:rPr>
          <w:rFonts w:ascii="仿宋" w:hAnsi="仿宋" w:eastAsia="仿宋"/>
          <w:sz w:val="32"/>
          <w:szCs w:val="32"/>
        </w:rPr>
      </w:pPr>
      <w:r>
        <w:rPr>
          <w:rFonts w:ascii="仿宋" w:hAnsi="仿宋" w:eastAsia="仿宋"/>
          <w:sz w:val="32"/>
          <w:szCs w:val="32"/>
        </w:rPr>
        <w:t>四、劳动改造方面：能积极参加劳动，按时完成劳动任务，表现较好。</w:t>
      </w:r>
    </w:p>
    <w:p>
      <w:pPr>
        <w:snapToGrid w:val="0"/>
        <w:spacing w:line="440" w:lineRule="exact"/>
        <w:ind w:firstLine="640"/>
        <w:rPr>
          <w:rFonts w:ascii="仿宋" w:hAnsi="仿宋" w:eastAsia="仿宋"/>
          <w:sz w:val="32"/>
          <w:szCs w:val="32"/>
        </w:rPr>
      </w:pPr>
      <w:r>
        <w:rPr>
          <w:rFonts w:ascii="仿宋" w:hAnsi="仿宋" w:eastAsia="仿宋"/>
          <w:sz w:val="32"/>
          <w:szCs w:val="32"/>
        </w:rPr>
        <w:t>五、履行财产性判项方面：没收个人全部财产，2021年9月14日贵州省遵义市中级人民法院执行裁定载明扣划该犯银行存款和网络资金316.76元，查封该犯名下雪佛兰牌汽车一辆，但未能实际控制，终结本次执行程序。月均消费166.54元，狱内账户余额659.58元。</w:t>
      </w:r>
    </w:p>
    <w:p>
      <w:pPr>
        <w:snapToGrid w:val="0"/>
        <w:spacing w:line="440" w:lineRule="exact"/>
        <w:ind w:firstLine="640"/>
        <w:rPr>
          <w:rFonts w:ascii="仿宋" w:hAnsi="仿宋" w:eastAsia="仿宋"/>
          <w:sz w:val="32"/>
          <w:szCs w:val="32"/>
        </w:rPr>
      </w:pPr>
      <w:r>
        <w:rPr>
          <w:rFonts w:ascii="仿宋" w:hAnsi="仿宋" w:eastAsia="仿宋"/>
          <w:sz w:val="32"/>
          <w:szCs w:val="32"/>
        </w:rPr>
        <w:t>六、考核奖励情况：2020年5月至2020年9月获1个表扬；2020年10月至2021年3月获1个表扬；2021年4月至2021年8月获1个表扬；2021年9月至2022年1月获1个表扬；2022年2月至2022年6月获1个表扬；2022年7月至2022年12月获1个表扬；2023年1月至2023年5月获1个表扬；2023年6月至2023年10月获表扬和物质奖励1次；获得共8个表扬、1个物质奖励。</w:t>
      </w:r>
    </w:p>
    <w:p>
      <w:pPr>
        <w:snapToGrid w:val="0"/>
        <w:spacing w:line="440" w:lineRule="exact"/>
        <w:ind w:firstLine="640"/>
        <w:rPr>
          <w:rFonts w:ascii="仿宋" w:hAnsi="仿宋" w:eastAsia="仿宋"/>
          <w:sz w:val="32"/>
          <w:szCs w:val="32"/>
        </w:rPr>
      </w:pPr>
      <w:r>
        <w:rPr>
          <w:rFonts w:ascii="仿宋" w:hAnsi="仿宋" w:eastAsia="仿宋"/>
          <w:sz w:val="32"/>
          <w:szCs w:val="32"/>
        </w:rPr>
        <w:t>扣分及违规情况：无。</w:t>
      </w:r>
    </w:p>
    <w:p>
      <w:pPr>
        <w:snapToGrid w:val="0"/>
        <w:spacing w:line="440" w:lineRule="exact"/>
        <w:ind w:firstLine="640"/>
        <w:rPr>
          <w:rFonts w:ascii="仿宋" w:hAnsi="仿宋" w:eastAsia="仿宋"/>
          <w:sz w:val="32"/>
          <w:szCs w:val="32"/>
        </w:rPr>
      </w:pPr>
      <w:r>
        <w:rPr>
          <w:rFonts w:ascii="仿宋" w:hAnsi="仿宋" w:eastAsia="仿宋"/>
          <w:sz w:val="32"/>
          <w:szCs w:val="32"/>
        </w:rPr>
        <w:t>从严情形：无。</w:t>
      </w:r>
    </w:p>
    <w:p>
      <w:pPr>
        <w:snapToGrid w:val="0"/>
        <w:spacing w:line="440" w:lineRule="exact"/>
        <w:ind w:firstLine="640"/>
        <w:rPr>
          <w:rFonts w:ascii="仿宋" w:hAnsi="仿宋" w:eastAsia="仿宋"/>
          <w:sz w:val="32"/>
          <w:szCs w:val="32"/>
        </w:rPr>
      </w:pPr>
      <w:r>
        <w:rPr>
          <w:rFonts w:ascii="仿宋" w:hAnsi="仿宋" w:eastAsia="仿宋"/>
          <w:sz w:val="32"/>
          <w:szCs w:val="32"/>
        </w:rPr>
        <w:t>检察机关审查意见：</w:t>
      </w:r>
      <w:r>
        <w:rPr>
          <w:rFonts w:ascii="仿宋" w:hAnsi="仿宋" w:eastAsia="仿宋"/>
          <w:sz w:val="32"/>
          <w:u w:color="00000A"/>
        </w:rPr>
        <w:t>经审查，我院认为：罪犯黄达符合减刑条件，暂未发现拟提请减刑建议不当，同意将案件交监狱长办公会审核。</w:t>
      </w:r>
    </w:p>
    <w:p>
      <w:pPr>
        <w:snapToGrid w:val="0"/>
        <w:spacing w:line="440" w:lineRule="exact"/>
        <w:ind w:firstLine="640"/>
        <w:rPr>
          <w:rFonts w:ascii="仿宋" w:hAnsi="仿宋" w:eastAsia="仿宋"/>
          <w:sz w:val="32"/>
          <w:szCs w:val="32"/>
        </w:rPr>
      </w:pPr>
      <w:r>
        <w:rPr>
          <w:rFonts w:ascii="仿宋" w:hAnsi="仿宋" w:eastAsia="仿宋"/>
          <w:sz w:val="32"/>
          <w:szCs w:val="32"/>
        </w:rPr>
        <w:t>综上所述，罪犯黄达自上次裁定减刑以来，能认真遵守监规，接受教育改造，确有悔改表现。</w:t>
      </w:r>
    </w:p>
    <w:p>
      <w:pPr>
        <w:snapToGrid w:val="0"/>
        <w:spacing w:line="440" w:lineRule="exact"/>
        <w:ind w:firstLine="640"/>
        <w:rPr>
          <w:rFonts w:ascii="仿宋" w:hAnsi="仿宋" w:eastAsia="仿宋"/>
          <w:sz w:val="32"/>
          <w:szCs w:val="32"/>
        </w:rPr>
      </w:pPr>
      <w:r>
        <w:rPr>
          <w:rFonts w:ascii="仿宋" w:hAnsi="仿宋" w:eastAsia="仿宋"/>
          <w:sz w:val="32"/>
          <w:szCs w:val="32"/>
        </w:rPr>
        <w:t>为此，根据《中华人民共和国刑法》第七十八条、《中华人民共和国刑事诉讼法》第二百七十三条第二款、《中华人民共和国监狱法》第二十九条之规定，经征求检察机关意见，建议对罪犯黄达提请无期徒刑减为有期徒刑二十五年，剥夺政治权利减为十年。特提请裁定。</w:t>
      </w:r>
    </w:p>
    <w:p>
      <w:pPr>
        <w:snapToGrid w:val="0"/>
        <w:spacing w:line="440" w:lineRule="exact"/>
        <w:ind w:firstLine="640"/>
        <w:rPr>
          <w:rFonts w:ascii="仿宋" w:hAnsi="仿宋" w:eastAsia="仿宋"/>
          <w:sz w:val="32"/>
          <w:szCs w:val="32"/>
        </w:rPr>
      </w:pPr>
      <w:r>
        <w:rPr>
          <w:rFonts w:ascii="仿宋" w:hAnsi="仿宋" w:eastAsia="仿宋"/>
          <w:sz w:val="32"/>
          <w:szCs w:val="32"/>
        </w:rPr>
        <w:t>此致</w:t>
      </w:r>
    </w:p>
    <w:p>
      <w:pPr>
        <w:snapToGrid w:val="0"/>
        <w:spacing w:line="440" w:lineRule="exact"/>
        <w:rPr>
          <w:rFonts w:ascii="仿宋" w:hAnsi="仿宋" w:eastAsia="仿宋"/>
          <w:sz w:val="32"/>
          <w:szCs w:val="32"/>
        </w:rPr>
      </w:pPr>
      <w:r>
        <w:rPr>
          <w:rFonts w:ascii="仿宋" w:hAnsi="仿宋" w:eastAsia="仿宋"/>
          <w:sz w:val="32"/>
          <w:szCs w:val="32"/>
        </w:rPr>
        <w:t>贵州省高级人民法院</w:t>
      </w:r>
    </w:p>
    <w:p>
      <w:pPr>
        <w:snapToGrid w:val="0"/>
        <w:spacing w:line="340" w:lineRule="exact"/>
        <w:jc w:val="right"/>
        <w:rPr>
          <w:rFonts w:hint="eastAsia" w:ascii="仿宋" w:hAnsi="仿宋" w:eastAsia="仿宋"/>
          <w:sz w:val="32"/>
          <w:szCs w:val="32"/>
          <w:lang w:val="en-US" w:eastAsia="zh-CN"/>
        </w:rPr>
      </w:pPr>
    </w:p>
    <w:p>
      <w:pPr>
        <w:snapToGrid w:val="0"/>
        <w:spacing w:line="340" w:lineRule="exact"/>
        <w:jc w:val="right"/>
        <w:rPr>
          <w:rFonts w:hint="eastAsia" w:ascii="仿宋" w:hAnsi="仿宋" w:eastAsia="仿宋"/>
          <w:sz w:val="32"/>
          <w:szCs w:val="32"/>
          <w:lang w:val="en-US" w:eastAsia="zh-CN"/>
        </w:rPr>
      </w:pPr>
    </w:p>
    <w:p>
      <w:pPr>
        <w:snapToGrid w:val="0"/>
        <w:spacing w:line="340" w:lineRule="exact"/>
        <w:jc w:val="right"/>
        <w:rPr>
          <w:rFonts w:hint="eastAsia" w:ascii="仿宋" w:hAnsi="仿宋" w:eastAsia="仿宋"/>
          <w:sz w:val="32"/>
          <w:szCs w:val="32"/>
          <w:lang w:val="en-US" w:eastAsia="zh-CN"/>
        </w:rPr>
      </w:pPr>
    </w:p>
    <w:p>
      <w:pPr>
        <w:snapToGrid w:val="0"/>
        <w:spacing w:line="340" w:lineRule="exact"/>
        <w:jc w:val="right"/>
        <w:rPr>
          <w:rFonts w:hint="default" w:ascii="仿宋" w:hAnsi="仿宋" w:eastAsia="仿宋"/>
          <w:sz w:val="32"/>
          <w:szCs w:val="32"/>
          <w:lang w:val="en-US" w:eastAsia="zh-CN"/>
        </w:rPr>
      </w:pPr>
      <w:r>
        <w:rPr>
          <w:rFonts w:hint="eastAsia" w:ascii="仿宋" w:hAnsi="仿宋" w:eastAsia="仿宋"/>
          <w:sz w:val="32"/>
          <w:szCs w:val="32"/>
          <w:lang w:val="en-US" w:eastAsia="zh-CN"/>
        </w:rPr>
        <w:t>2024年8月29日</w:t>
      </w:r>
    </w:p>
    <w:p>
      <w:pPr>
        <w:snapToGrid w:val="0"/>
        <w:spacing w:line="440" w:lineRule="exact"/>
        <w:rPr>
          <w:rFonts w:ascii="仿宋" w:hAnsi="仿宋" w:eastAsia="仿宋"/>
          <w:sz w:val="32"/>
          <w:szCs w:val="32"/>
        </w:rPr>
      </w:pPr>
    </w:p>
    <w:p/>
    <w:sectPr>
      <w:pgSz w:w="11906" w:h="16838"/>
      <w:pgMar w:top="1440" w:right="1800" w:bottom="1440" w:left="1800" w:header="0" w:footer="0" w:gutter="0"/>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roman"/>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Lohit Devanagari">
    <w:altName w:val="Times New Roman"/>
    <w:panose1 w:val="00000000000000000000"/>
    <w:charset w:val="00"/>
    <w:family w:val="roman"/>
    <w:pitch w:val="default"/>
    <w:sig w:usb0="00000000" w:usb1="00000000" w:usb2="00000000" w:usb3="00000000" w:csb0="00000000" w:csb1="00000000"/>
  </w:font>
  <w:font w:name="Liberation Sans">
    <w:altName w:val="Arial"/>
    <w:panose1 w:val="00000000000000000000"/>
    <w:charset w:val="01"/>
    <w:family w:val="swiss"/>
    <w:pitch w:val="default"/>
    <w:sig w:usb0="00000000" w:usb1="00000000" w:usb2="00000000" w:usb3="00000000" w:csb0="00000000" w:csb1="00000000"/>
  </w:font>
  <w:font w:name="文泉驿点阵正黑">
    <w:altName w:val="黑体"/>
    <w:panose1 w:val="00000000000000000000"/>
    <w:charset w:val="86"/>
    <w:family w:val="roman"/>
    <w:pitch w:val="default"/>
    <w:sig w:usb0="00000000" w:usb1="00000000" w:usb2="00000000" w:usb3="00000000" w:csb0="00000000" w:csb1="00000000"/>
  </w:font>
  <w:font w:name="等线 Light">
    <w:panose1 w:val="02010600030101010101"/>
    <w:charset w:val="86"/>
    <w:family w:val="roman"/>
    <w:pitch w:val="default"/>
    <w:sig w:usb0="A00002BF" w:usb1="38CF7CFA" w:usb2="00000016" w:usb3="00000000" w:csb0="0004000F" w:csb1="00000000"/>
  </w:font>
  <w:font w:name="方正小标宋简体">
    <w:altName w:val="Times New Roman"/>
    <w:panose1 w:val="00000000000000000000"/>
    <w:charset w:val="01"/>
    <w:family w:val="roma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doNotCompress"/>
  <w:compat>
    <w:doNotExpandShiftReturn/>
    <w:useFELayout/>
    <w:compatSetting w:name="compatibilityMode" w:uri="http://schemas.microsoft.com/office/word" w:val="12"/>
  </w:compat>
  <w:rsids>
    <w:rsidRoot w:val="00485EBA"/>
    <w:rsid w:val="000C1CE1"/>
    <w:rsid w:val="00485EBA"/>
    <w:rsid w:val="00C17171"/>
    <w:rsid w:val="19501936"/>
    <w:rsid w:val="59F63DCF"/>
    <w:rsid w:val="63BD7E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99" w:semiHidden="0"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unhideWhenUsed/>
    <w:qFormat/>
    <w:uiPriority w:val="99"/>
    <w:rPr>
      <w:rFonts w:ascii="仿宋" w:hAnsi="仿宋" w:eastAsia="仿宋"/>
      <w:sz w:val="30"/>
      <w:szCs w:val="30"/>
    </w:rPr>
  </w:style>
  <w:style w:type="paragraph" w:styleId="3">
    <w:name w:val="Closing"/>
    <w:basedOn w:val="1"/>
    <w:unhideWhenUsed/>
    <w:qFormat/>
    <w:uiPriority w:val="99"/>
    <w:pPr>
      <w:ind w:left="100"/>
    </w:pPr>
    <w:rPr>
      <w:rFonts w:ascii="仿宋" w:hAnsi="仿宋" w:eastAsia="仿宋"/>
      <w:sz w:val="30"/>
      <w:szCs w:val="30"/>
    </w:rPr>
  </w:style>
  <w:style w:type="paragraph" w:styleId="4">
    <w:name w:val="Body Text"/>
    <w:basedOn w:val="1"/>
    <w:qFormat/>
    <w:uiPriority w:val="0"/>
    <w:pPr>
      <w:spacing w:after="140" w:line="288" w:lineRule="auto"/>
    </w:pPr>
  </w:style>
  <w:style w:type="paragraph" w:styleId="5">
    <w:name w:val="footer"/>
    <w:basedOn w:val="1"/>
    <w:link w:val="21"/>
    <w:semiHidden/>
    <w:unhideWhenUsed/>
    <w:qFormat/>
    <w:uiPriority w:val="99"/>
    <w:pPr>
      <w:tabs>
        <w:tab w:val="center" w:pos="4153"/>
        <w:tab w:val="right" w:pos="8306"/>
      </w:tabs>
      <w:snapToGrid w:val="0"/>
      <w:jc w:val="left"/>
    </w:pPr>
    <w:rPr>
      <w:sz w:val="18"/>
      <w:szCs w:val="18"/>
    </w:rPr>
  </w:style>
  <w:style w:type="paragraph" w:styleId="6">
    <w:name w:val="header"/>
    <w:basedOn w:val="1"/>
    <w:link w:val="2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w:basedOn w:val="4"/>
    <w:qFormat/>
    <w:uiPriority w:val="0"/>
    <w:rPr>
      <w:rFonts w:cs="Lohit Devanagari"/>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眉 字符"/>
    <w:basedOn w:val="10"/>
    <w:qFormat/>
    <w:uiPriority w:val="99"/>
    <w:rPr>
      <w:sz w:val="18"/>
      <w:szCs w:val="18"/>
    </w:rPr>
  </w:style>
  <w:style w:type="character" w:customStyle="1" w:styleId="12">
    <w:name w:val="页脚 字符"/>
    <w:basedOn w:val="10"/>
    <w:qFormat/>
    <w:uiPriority w:val="99"/>
    <w:rPr>
      <w:sz w:val="18"/>
      <w:szCs w:val="18"/>
    </w:rPr>
  </w:style>
  <w:style w:type="character" w:customStyle="1" w:styleId="13">
    <w:name w:val="称呼 字符"/>
    <w:basedOn w:val="10"/>
    <w:qFormat/>
    <w:uiPriority w:val="99"/>
    <w:rPr>
      <w:rFonts w:ascii="仿宋" w:hAnsi="仿宋" w:eastAsia="仿宋"/>
      <w:sz w:val="30"/>
      <w:szCs w:val="30"/>
    </w:rPr>
  </w:style>
  <w:style w:type="character" w:customStyle="1" w:styleId="14">
    <w:name w:val="结束语 字符"/>
    <w:basedOn w:val="10"/>
    <w:qFormat/>
    <w:uiPriority w:val="99"/>
    <w:rPr>
      <w:rFonts w:ascii="仿宋" w:hAnsi="仿宋" w:eastAsia="仿宋"/>
      <w:sz w:val="30"/>
      <w:szCs w:val="30"/>
    </w:rPr>
  </w:style>
  <w:style w:type="paragraph" w:customStyle="1" w:styleId="15">
    <w:name w:val="Heading"/>
    <w:basedOn w:val="1"/>
    <w:next w:val="4"/>
    <w:qFormat/>
    <w:uiPriority w:val="0"/>
    <w:pPr>
      <w:keepNext/>
      <w:spacing w:before="240" w:after="120"/>
    </w:pPr>
    <w:rPr>
      <w:rFonts w:ascii="Liberation Sans" w:hAnsi="Liberation Sans" w:eastAsia="文泉驿点阵正黑" w:cs="Lohit Devanagari"/>
      <w:sz w:val="28"/>
      <w:szCs w:val="28"/>
    </w:rPr>
  </w:style>
  <w:style w:type="paragraph" w:customStyle="1" w:styleId="16">
    <w:name w:val="Caption"/>
    <w:basedOn w:val="1"/>
    <w:qFormat/>
    <w:uiPriority w:val="0"/>
    <w:pPr>
      <w:suppressLineNumbers/>
      <w:spacing w:before="120" w:after="120"/>
    </w:pPr>
    <w:rPr>
      <w:rFonts w:cs="Lohit Devanagari"/>
      <w:i/>
      <w:iCs/>
      <w:sz w:val="24"/>
      <w:szCs w:val="24"/>
    </w:rPr>
  </w:style>
  <w:style w:type="paragraph" w:customStyle="1" w:styleId="17">
    <w:name w:val="Index"/>
    <w:basedOn w:val="1"/>
    <w:qFormat/>
    <w:uiPriority w:val="0"/>
    <w:pPr>
      <w:suppressLineNumbers/>
    </w:pPr>
    <w:rPr>
      <w:rFonts w:cs="Lohit Devanagari"/>
    </w:rPr>
  </w:style>
  <w:style w:type="paragraph" w:customStyle="1" w:styleId="18">
    <w:name w:val="Header"/>
    <w:basedOn w:val="1"/>
    <w:unhideWhenUsed/>
    <w:qFormat/>
    <w:uiPriority w:val="99"/>
    <w:pPr>
      <w:pBdr>
        <w:bottom w:val="single" w:color="00000A" w:sz="6" w:space="1"/>
      </w:pBdr>
      <w:tabs>
        <w:tab w:val="center" w:pos="4153"/>
        <w:tab w:val="right" w:pos="8306"/>
      </w:tabs>
      <w:snapToGrid w:val="0"/>
      <w:jc w:val="center"/>
    </w:pPr>
    <w:rPr>
      <w:sz w:val="18"/>
      <w:szCs w:val="18"/>
    </w:rPr>
  </w:style>
  <w:style w:type="paragraph" w:customStyle="1" w:styleId="19">
    <w:name w:val="Footer"/>
    <w:basedOn w:val="1"/>
    <w:unhideWhenUsed/>
    <w:qFormat/>
    <w:uiPriority w:val="99"/>
    <w:pPr>
      <w:tabs>
        <w:tab w:val="center" w:pos="4153"/>
        <w:tab w:val="right" w:pos="8306"/>
      </w:tabs>
      <w:snapToGrid w:val="0"/>
      <w:jc w:val="left"/>
    </w:pPr>
    <w:rPr>
      <w:sz w:val="18"/>
      <w:szCs w:val="18"/>
    </w:rPr>
  </w:style>
  <w:style w:type="character" w:customStyle="1" w:styleId="20">
    <w:name w:val="页眉 Char"/>
    <w:basedOn w:val="10"/>
    <w:link w:val="6"/>
    <w:semiHidden/>
    <w:qFormat/>
    <w:uiPriority w:val="99"/>
    <w:rPr>
      <w:sz w:val="18"/>
      <w:szCs w:val="18"/>
    </w:rPr>
  </w:style>
  <w:style w:type="character" w:customStyle="1" w:styleId="21">
    <w:name w:val="页脚 Char"/>
    <w:basedOn w:val="10"/>
    <w:link w:val="5"/>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981</Words>
  <Characters>1100</Characters>
  <Lines>8</Lines>
  <Paragraphs>2</Paragraphs>
  <TotalTime>0</TotalTime>
  <ScaleCrop>false</ScaleCrop>
  <LinksUpToDate>false</LinksUpToDate>
  <CharactersWithSpaces>1100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2022-10-06T01:49:00Z</dcterms:created>
  <dc:creator>曾 三</dc:creator>
  <cp:lastModifiedBy>Lenovo</cp:lastModifiedBy>
  <dcterms:modified xsi:type="dcterms:W3CDTF">2024-11-11T07:13:27Z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2052-11.1.0.11691</vt:lpwstr>
  </property>
  <property fmtid="{D5CDD505-2E9C-101B-9397-08002B2CF9AE}" pid="9" name="ICV">
    <vt:lpwstr>92EFCC5FBA8249B69EE84B63BD533675</vt:lpwstr>
  </property>
</Properties>
</file>