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b/>
          <w:sz w:val="44"/>
          <w:szCs w:val="44"/>
        </w:rPr>
      </w:pPr>
      <w:r>
        <w:rPr>
          <w:rFonts w:ascii="方正小标宋简体" w:hAnsi="方正小标宋简体" w:eastAsia="方正小标宋简体"/>
          <w:b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(2024)遵义监狱死缓、无期减字第44号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罪犯姜德志，男，1956年8月17日生，汉族，小学文化，贵州省正安县人。现在贵州省遵义监狱服刑。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2018年12月18日，贵州省遵义市中级人民法院作出（2018）黔03刑初第119号刑事附带民事判决，认定姜德志犯故意杀人罪，判处无期徒刑，剥夺政治权利终身，赔偿附带民事诉讼原告人经济损失209855.50元。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判决发生法律效力后于2019年1月18日交付贵州省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遵义监狱执行。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一、认罪悔罪方面：罪犯姜德志在服刑期间，能服从法院判决，认罪悔罪。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二、遵守法律法规及监规方面：罪犯姜德志在服刑期间，认真遵守法律法规及监规纪律，服从管教。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四、劳动改造方面：能积极参加劳动，按时完成劳动任务，表现较好。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五、履行财产性判项方面：赔偿附带民事诉讼原告人经济损失209855.50元，未履行。</w:t>
      </w:r>
      <w:r>
        <w:rPr>
          <w:rFonts w:hint="eastAsia" w:ascii="仿宋" w:hAnsi="仿宋" w:eastAsia="仿宋"/>
          <w:sz w:val="32"/>
          <w:szCs w:val="32"/>
        </w:rPr>
        <w:t>2019年6月21日贵州省遵义市中级人民法院终结本次执行程序。</w:t>
      </w:r>
      <w:r>
        <w:rPr>
          <w:rFonts w:ascii="仿宋" w:hAnsi="仿宋" w:eastAsia="仿宋"/>
          <w:sz w:val="32"/>
          <w:szCs w:val="32"/>
        </w:rPr>
        <w:t>月均消费114.82元，狱内账户余额2591.81元。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2019年3月19日至2019年9月获1个表扬；2019年10月至2020年3月获1个表扬；2020年4月至2020年9月获1个表扬；2020年10月至2021年3月获1个表扬；2021年4月至2021年9月获1个表扬；2021年10月至2022年3月获1个表扬；2022年4月至2022年9月获1个表扬；2022年10月至2023年3月获1个表扬；2023年4月至2023年9月获1个表扬；获得共9个表扬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从严情形：故意杀人犯；赔偿附带民事诉讼原告人经济损失209855.50元，未履行。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color="00000A"/>
        </w:rPr>
        <w:t>经审查，我院认为：罪犯姜德志符合减刑条件，未发现拟提请减刑建议不当，建议监狱按程序报请监狱长办公会审议。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综上所述，罪犯姜德志在服刑改造期间，能认真遵守监规，接受教育改造，确有悔改表现。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、《中华人民共和国刑事诉讼法》第二百七十三条第二款、《中华人民共和国监狱法》第二十九条之规定，经征求检察机关意见，建议对罪犯姜德志提请无期徒刑减为有期徒刑二十二年，剥夺政治权利减为十年。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贵州省高级人民法院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40" w:lineRule="exact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2024年8月29日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0" w:footer="0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文泉驿点阵正黑">
    <w:altName w:val="黑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5A50F1"/>
    <w:rsid w:val="005A50F1"/>
    <w:rsid w:val="008A5FFA"/>
    <w:rsid w:val="009B5089"/>
    <w:rsid w:val="00A7195F"/>
    <w:rsid w:val="00EB24C9"/>
    <w:rsid w:val="00EC6971"/>
    <w:rsid w:val="10683017"/>
    <w:rsid w:val="17C962C2"/>
    <w:rsid w:val="3DC1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ascii="仿宋" w:hAnsi="仿宋" w:eastAsia="仿宋"/>
      <w:sz w:val="30"/>
      <w:szCs w:val="30"/>
    </w:rPr>
  </w:style>
  <w:style w:type="paragraph" w:styleId="3">
    <w:name w:val="Closing"/>
    <w:basedOn w:val="1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4">
    <w:name w:val="Body Text"/>
    <w:basedOn w:val="1"/>
    <w:uiPriority w:val="0"/>
    <w:pPr>
      <w:spacing w:after="140" w:line="288" w:lineRule="auto"/>
    </w:pPr>
  </w:style>
  <w:style w:type="paragraph" w:styleId="5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4"/>
    <w:qFormat/>
    <w:uiPriority w:val="0"/>
    <w:rPr>
      <w:rFonts w:cs="Lohit Devanagari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字符"/>
    <w:basedOn w:val="10"/>
    <w:qFormat/>
    <w:uiPriority w:val="99"/>
    <w:rPr>
      <w:sz w:val="18"/>
      <w:szCs w:val="18"/>
    </w:rPr>
  </w:style>
  <w:style w:type="character" w:customStyle="1" w:styleId="12">
    <w:name w:val="页脚 字符"/>
    <w:basedOn w:val="10"/>
    <w:qFormat/>
    <w:uiPriority w:val="99"/>
    <w:rPr>
      <w:sz w:val="18"/>
      <w:szCs w:val="18"/>
    </w:rPr>
  </w:style>
  <w:style w:type="character" w:customStyle="1" w:styleId="13">
    <w:name w:val="称呼 字符"/>
    <w:basedOn w:val="10"/>
    <w:qFormat/>
    <w:uiPriority w:val="99"/>
    <w:rPr>
      <w:rFonts w:ascii="仿宋" w:hAnsi="仿宋" w:eastAsia="仿宋"/>
      <w:sz w:val="30"/>
      <w:szCs w:val="30"/>
    </w:rPr>
  </w:style>
  <w:style w:type="character" w:customStyle="1" w:styleId="14">
    <w:name w:val="结束语 字符"/>
    <w:basedOn w:val="10"/>
    <w:qFormat/>
    <w:uiPriority w:val="99"/>
    <w:rPr>
      <w:rFonts w:ascii="仿宋" w:hAnsi="仿宋" w:eastAsia="仿宋"/>
      <w:sz w:val="30"/>
      <w:szCs w:val="30"/>
    </w:rPr>
  </w:style>
  <w:style w:type="paragraph" w:customStyle="1" w:styleId="15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文泉驿点阵正黑" w:cs="Lohit Devanagari"/>
      <w:sz w:val="28"/>
      <w:szCs w:val="28"/>
    </w:rPr>
  </w:style>
  <w:style w:type="paragraph" w:customStyle="1" w:styleId="16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  <w:style w:type="paragraph" w:customStyle="1" w:styleId="18">
    <w:name w:val="Header"/>
    <w:basedOn w:val="1"/>
    <w:unhideWhenUsed/>
    <w:qFormat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0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884</Words>
  <Characters>1011</Characters>
  <Lines>7</Lines>
  <Paragraphs>2</Paragraphs>
  <TotalTime>0</TotalTime>
  <ScaleCrop>false</ScaleCrop>
  <LinksUpToDate>false</LinksUpToDate>
  <CharactersWithSpaces>1011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2024-11-11T07:16:37Z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2052-11.1.0.11691</vt:lpwstr>
  </property>
  <property fmtid="{D5CDD505-2E9C-101B-9397-08002B2CF9AE}" pid="9" name="ICV">
    <vt:lpwstr>5E060C10BD23438A89AFF3C22BFEC6FC</vt:lpwstr>
  </property>
</Properties>
</file>