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罪犯胡生祥，男，汉族，初中文化，陕西省汉滨区人。现在贵州省遵义监狱服刑。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10日，贵州省遵义市中级人民法院作出（2014）遵市法刑一初字第50号刑事附带民事判决，认定罪犯胡生祥犯故意杀人罪，判处无期徒刑，剥夺政治权利终身；犯故意毁坏财物罪，判处有期徒刑一年。决定执行无期徒刑，剥夺政治权利终身；附带民事赔偿100000元。原审附带民事诉讼原告人及该犯不服， 提出上诉。2014年12月19日，贵州省高级人民法院作出（2014）黔高刑一终字第260号刑事附带民事裁定，决定驳回上诉，维持原判。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9月25日经贵州省高级人民法院裁定减为有期徒刑二十二年，剥夺政治权利十年；2021年11月19日经贵州省遵义市中级人民法院裁定减去有期徒刑五个月，剥夺政治权利十年。刑期2018年9月25日至2040年4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一、认罪悔罪方面：罪犯胡生祥自上次裁定减刑以来，能服从法院判决，认罪悔罪。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二、遵守法律法规及监规方面：罪犯胡生祥自上次裁定减刑以来，基本遵守法律法规及监规纪律，服从管教。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除2023年4月18日，值班时打瞌睡，扣8.00分；2024年5月31日，值夜班时不认真履行职责，值班时打瞌睡，扣8.00分（此次扣分系报请考核成绩之外扣分）。以外，其余时间均能积极参加劳动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五、履行财产性判项方面：民事赔偿人民币100000元(首次减刑前履行500元，本次未履行)。狱内月均消费175.49元，狱内账户余额1061.47元。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2021年12月获1个表扬；2022年1月至2022年6月获1个表扬；2022年7月至2022年12月获1个表扬；2023年1月至2023年6月获物质奖励1次；2023年7月至2023年12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扣分及违规情况：于2023年4月18日，值夜班时不认真履行职责，值班时打瞌睡，扣8.00分；2024年5月31日，值夜班时不认真履行职责，值班时打瞌睡，扣8.00分。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从严情形：财产性判项未履行完毕；故意杀人犯；数罪从严。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经审查，我院认为：罪犯胡生祥符合提请减刑条件。未发现提请减刑建议不当，同意将案件交监狱长办公会审核。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综上所述，罪犯胡生祥自上次裁定减刑以来，能认真遵守监规，接受教育改造，确有悔改表现。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生祥提请减去有期徒刑五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702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2025-03-07T01:34:44Z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