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罪犯刘应祥，男，汉族，初中文化，贵州省遵义市红花岗区人。现在贵州省遵义监狱服刑。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2019年4月19日，贵州省金沙县人民法院作出（2019）黔0523刑初62号刑事判决，认定刘应祥犯运输毒品罪，判处有期徒刑十五年，剥夺政治权利三年，并处没收财产人民币五万元。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判决发生法律效力后于2019年5月17日交付贵州省遵义监狱执行。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服刑期间执行刑期变动情况：2022年12月14日经贵州省遵义市中级人民法院裁定减去有期徒刑五个月。刑期2018年12月20日至2033年7月19日。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一、认罪悔罪方面：罪犯刘应祥在服刑期间，能服从法院判决，认罪悔罪。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二、遵守法律法规及监规方面：罪犯刘应祥在服刑期间，基本遵守法律法规及监规纪律，服从管教。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四、劳动改造方面：积极参加生产劳动，努力完成生产任务，除2021年9月因欠产被扣10.58分外，考核期内有多次超产加分。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五、履行财产性判项方面：没收财产人民币五万元未履行。月均消费106.86元，狱内账户余额5.89元。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5月获1个表扬；2022年6月至2022年10月获1个表扬；2022年11月至2023年4月获1个表扬；2023年5月至2023年9月获1个表扬；2023年10月至2024年3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扣分及违规情况：2021年9月因生产欠产被扣10.58分。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从严情形：毒品再犯、财产性判项未履行。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罪犯刘应祥符合提请减刑条件。未发现提请减刑建议不当，同意将案件交监狱长办公会审核。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综上所述，罪犯刘应祥自上次裁定减刑以来，能认真遵守监规，接受教育改造，确有悔改表现。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应祥提请减去有期徒刑六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0B5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2025-03-07T01:37:23Z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