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罪犯唐应龙，男，汉族，初中文化，贵州省遵义市汇川区人。现在贵州省遵义监狱服刑。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2012年11月16日，贵州省遵义市中级人民法院作出（2012）遵市法刑一初字第75号刑事附带民事判决，认定唐应龙犯以危险方 法危害公共安全罪，判处无期徒刑，剥夺政治权利终身；犯抢劫罪，判处有期徒刑十年，并处罚金一万元；犯强迫卖淫罪，判处有期徒刑五年，并处罚金五千元；犯强制猥亵妇女罪，判处有期徒刑六年。决定执行无期徒刑，剥夺政治权利终身，并处罚金一万五千元，与其他同案犯赔偿附带民事诉讼原告人各项费用共计五万元（含已付二万元），其中唐应龙赔偿二万元。该犯同案犯及附带民事诉讼原告人不服，提出上诉。2014年9月28日，贵州省高级人民法院作出（2013）黔高刑一终字第121号刑事附带民事判决，维持民事赔偿部分判决；认定唐应龙犯以危险方法危害公共安全罪，判处有期徒刑十五年；犯抢劫罪，判处有期徒刑十年，并处罚金一万元；犯强迫卖淫罪，判处有期徒刑五年，并处罚金五千元；犯强制猥亵妇女罪，判处有期徒刑六年，决定执行有期徒刑二十二年，并处罚金一万五千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判决发生法律效力后于2014年11月10日交付贵州省遵义监狱执行。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14日经贵州省遵义市中级人民法院裁定减去有期徒刑七个月；2019年11月12日经贵州省遵义市中级人民法院裁定减去有期徒刑七个月；2022年12月14日经贵州省遵义市中级人民法院裁定减去有期徒刑四个月。刑期2010年6月3日至2030年12月2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一、认罪悔罪方面：罪犯唐应龙在服刑期间，能服从法院判决，认罪悔罪。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二、遵守法律法规及监规方面：罪犯唐应龙在服刑期间，认真遵守法律法规及监规纪律，服从管教。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五、履行财产性判项方面：罚金一万五千元（已履行），民事赔偿二万元，已履行（判决书载明）。狱内月均消费232元，狱内账户余额1427.52元。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1月获1个表扬；2022年2月至2022年7月获1个表扬；2022年8月至2022年12月获1个表扬；2023年1月至2023年6月获1个表扬；2023年7月至2023年12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从严情形：数罪从严、罪名从严、强迫卖淫与强制猥亵对象系未成年人。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罪犯唐应龙符合提请减刑条件。未发现提请减刑建议不当，同意将案件交监狱长办公会审核。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综上所述，罪犯唐应龙自上次裁定减刑以来，能认真遵守监规，接受教育改造，确有悔改表现。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唐应龙提请减去有期徒刑五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F9A1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2025-03-07T01:37:32Z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