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(2025)遵监提请减字第44号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罪犯余顺文，男，土家族，初中文化，贵州省德江县人。现在贵州省遵义监狱服刑。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2014年3月20日，贵州省铜仁市中级人民法院作出（2014）铜中刑初字第10号刑事判决，认定余顺文犯故意杀人罪，判处无期徒刑，剥夺政治权利终身，赔偿附带民事诉讼原告人经济损失人民币二万元。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10月9日经贵州省高级人民法院裁定减为有期徒刑十九年一个月，剥夺政治权利改为八年；2019年5月30日经贵州省遵义市中级人民法院裁定减去有期徒刑七个月；2022年6月29日经贵州省遵义市中级人民法院裁定减去有期徒刑七个月。刑期2016年10月10日至2034年9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一、认罪悔罪方面：罪犯余顺文在服刑期间，能服从法院判决，认罪悔罪。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二、遵守法律法规及监规方面：罪犯余顺文在服刑期间，认真遵守法律法规及监规纪律，服从管教。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五、履行财产性判项方面：赔偿附带民事诉讼原告人经济损失人民币二万元，未履行。狱内月均消费100.18元，账户余额：1666.65元。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3月获1个表扬；2022年4月至2022年9月获1个表扬；2022年10月至2023年2月获1个表扬；2023年3月至2023年8月获1个表扬；2023年9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罪犯余顺文符合提请减刑条件。未发现提请减刑建议不当，同意将案件交监狱长办公会审核。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综上所述，罪犯余顺文自上次裁定减刑以来，能认真遵守监规，接受教育改造，确有悔改表现。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顺文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7B1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2025-03-07T01:40:32Z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