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罪犯刘鸿，男，汉族，初中文化，贵州省凤冈县人。现在贵州省遵义监狱服刑。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25日，贵州省遵义市中级人民法院作出（2018）黔03刑初89号刑事判决，认定刘鸿犯贩卖、运输毒品罪，判处有期徒刑十五年（刑期自2016年4月14日起至2031年4月13日止），剥夺政治权利五年，没收个人财产人民币50000.00元。同案不服，提出上诉。2019年4月11日，贵州省高级人民法院作出（2019）黔刑终字第43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服刑期间执行刑期变动情况：2022年11月24日经贵州省遵义市中级人民法院裁定减去有期徒刑六个月，剥夺政治权利五年。刑期2016年4月14日至2030年10月13日。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一、认罪悔罪方面：罪犯刘鸿在服刑期间，能服从法院判决，认罪悔罪。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二、遵守法律法规及监规方面：罪犯刘鸿在服刑期间，认真遵守法律法规及监规纪律，服从管教。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五、履行财产性判项方面：没收个人财产人民币50000元,未履行，狱内月均消费117.06元，狱内账户余额1217.67元。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5月获1个表扬；2022年6月至2022年11月获1个表扬；2022年12月至2023年5月获1个表扬；2023年6月至2023年11月获1个表扬；2023年12月至2024年5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经审查，我院认为：罪犯刘鸿符合提请减刑条件。未发现提请减刑建议不当，同意将案件交监狱长办公会审核。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综上所述，罪犯刘鸿自上次裁定减刑以来，能认真遵守监规，接受教育改造，确有悔改表现。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鸿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166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2025-03-07T01:44:53Z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