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罪犯聂飘，男，汉族，初中文化，贵州省仁怀市人。现在贵州省遵义监狱服刑。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11月10日，毕节市中级人民法院作出（2017）黔05刑初字第90号刑事附带民事判决，认定聂飘犯故意伤害罪，判处无期徒刑，剥夺政治权利终身，犯聚众斗殴罪，判处有期徒刑一年，决定执行无期徒刑，剥夺政治权利终身，5人共同民事赔偿人民币50000.00元，聂飘承担15000元，5人负连带责任。该犯不服，提出上诉，2018年3月23日，贵州省高级人民法院作出（2018）黔刑终字第76号刑事判决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判决发生法律效力后于2018年5月18日交付贵州省遵义监狱执行。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服刑期间执行刑期变动情况：2022年4月26日经贵州省高级人民法院裁定减为有期徒刑二十二年，剥夺政治权利十年。刑期2022年4月26日至2044年4月25日。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一、认罪悔罪方面：罪犯聂飘在服刑期间，能服从法院判决，认罪悔罪。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二、遵守法律法规及监规方面：罪犯聂飘在服刑期间，认真遵守法律法规及监规纪律，服从管教。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五、履行财产性判项方面：5人共同民事赔偿人民币50000元，已全部履行完毕。狱内月均消费154.33元，狱内账户余额1709.02元。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9月获1个表扬；2022年10月至2023年3月获1个表扬；2023年4月至2023年9月获1个表扬；2023年10月至2024年3月获表扬和物质奖励1次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经审查，我院认为：罪犯聂飘符合提请减刑条件。未发现提请减刑建议不当，同意将案件交监狱长办公会审核。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综上所述，罪犯聂飘自上次裁定减刑以来，能认真遵守监规，接受教育改造，确有悔改表现。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聂飘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4D3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2025-03-07T01:45:55Z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