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罪犯杨波，男，汉族，初中文化，贵州省金沙县人。现在贵州省遵义监狱服刑。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月22日，贵州省金沙县人民法院作出（2016）黔0523刑初304号刑事判决，认定罪犯杨波犯组织卖淫罪，判处有期徒刑十四年六个月，剥夺政治权利二年，并处罚金人民币五万元；犯拐卖妇女罪，判处有期徒刑十二年，剥夺政治权利一年，并处罚金五万元；犯诈骗罪，判处有期徒刑三年六个月，并处罚金人民币二万元。总和刑期三十年，决定执行有期徒刑二十年，剥夺政治权利三年，罚金人民币十二万元。（原判刑期自2015年4月7日起至2035年4月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判决发生法律效力后于2017年3月17日交付贵州省遵义监狱执行。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七个月，剥夺政治权利三年及并处罚金人民币120000元不变；2022年11月24日经贵州省遵义市中级人民法院裁定减去有期徒刑四个月，剥夺政治权利三年及并处罚金人民币120000元不变。刑期2015年4月7日至2034年5月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二、遵守法律法规及监规方面：罪犯杨波在服刑期间，认真遵守法律法规及监规纪律，服从管教。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五、履行财产性判项方面：罚金人民币120000元(未缴纳)；狱内月均消费180.87元，狱内账户余额184.73元。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4月获1个表扬；2022年5月至2022年9月获1个表扬；2022年10月至2023年3月获1个表扬；2023年4月至2023年8月获1个表扬；2023年9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从严情形：罚金人民币120000元(未缴纳)；数罪并罚；犯罪对象为未成年人。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波提请减去有期徒刑五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4C4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2025-03-07T01:50:57Z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