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(2025)遵监提请减字第97号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罪犯汪杰，男，汉族，初中文化，贵州省凤冈县人。现在贵州省遵义监狱服刑。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5月13日，贵州省遵义市中级人民法院作出（2019）黔03刑初27号刑事附带民事判决，认定罪犯汪杰犯故意杀人罪，判处有期徒刑十五年，剥夺政治权利五年，附带民事赔偿人民币100000元。（原判刑期自2018年10月14日起至2033年10月13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判决发生法律效力后于2019年6月11日交付贵州省遵义监狱执行。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服刑期间执行刑期变动情况：2022年11月24日经贵州省遵义市中级人民法院裁定减去有期徒刑五个月，剥夺政治权利五年及附带民事赔偿人民币100000元不变。刑期2018年10月14日至2033年5月13日。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一、认罪悔罪方面：罪犯汪杰在服刑期间，能服从法院判决，认罪悔罪。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二、遵守法律法规及监规方面：罪犯汪杰在服刑期间，认真遵守法律法规及监规纪律，服从管教。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五、履行财产性判项方面：附带民事赔偿人民币100000元(未履行)；狱内月均消费219.25元，狱内账户余额1726.97元。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6月至2021年10月获1个表扬；2021年11月至2022年4月获1个表扬；2022年5月至2022年9月获1个表扬；2022年10月至2023年2月获1个表扬；2023年3月至2023年8月获1个表扬；2023年9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从严情形：财产性判刑未履行；因犯故意杀人罪被判处有期徒刑十五年。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经审查，我院认为：罪犯汪杰符合提请减刑条件。未发现提请减刑建议不当，同意将案件交监狱长办公会审核。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综上所述，罪犯汪杰自上次裁定减刑以来，能认真遵守监规，接受教育改造，确有悔改表现。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汪杰提请减去有期徒刑六个月，剥夺政治权利五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BE6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2025-03-07T01:51:06Z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