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罪犯马关松，男，回族，小学文化，贵州省威宁彝族回族苗族自治县人。现在贵州省遵义监狱服刑。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2014年3月10日，贵州省毕节市中级人民法院作出（2014）黔毕中刑初字第7号刑事判决，认定罪犯马关松犯贩卖毒品罪，判处无期徒刑，剥夺政治权利终身，没收个人财产人民币五万元。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判决发生法律效力后于2014年5月15日交付贵州省遵义监狱执行。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六个月，剥夺政治权利八年；2019年3月27日经贵州省遵义市中级人民法院裁定减去有期徒刑八个月，剥夺政治权利八年；2022年6月29日经贵州省遵义市中级人民法院裁定减去有期徒刑六个月，剥夺政治权利八年。刑期2016年9月9日至2037年1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一、认罪悔罪方面：罪犯马关松在服刑期间，能服从法院判决，认罪悔罪。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二、遵守法律法规及监规方面：罪犯马关松在服刑期间，认真遵守法律法规及监规纪律，服从管教。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五、履行财产性判项方面：没收个人财产人民币50000元(已部分执行4300元)；狱内月均消费102.26元；狱内账户余额1435.86元。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11月获表扬和物质奖励1次；2021年12月至2022年4月获表扬和物质奖励1次；2022年5月至2022年10月获表扬和物质奖励1次；2022年11月至2023年3月获1个表扬；2023年4月至2023年9月获表扬和物质奖励1次；2023年10月至2024年2月获1个表扬；获得共7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经审查，我院认为：罪犯马关松符合提请减刑条件。未发现提请减刑建议不当，同意将案件交监狱长办公会审核。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综上所述，罪犯马关松自上次裁定减刑以来，能认真遵守监规，接受教育改造，确有悔改表现。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关松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3E7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2025-03-07T01:52:41Z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