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(2025)遵监提请减字第117号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罪犯杨政林，男，苗族，小学文化，贵州省仁怀市人。现在贵州省遵义监狱服刑。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2015年2月11日，贵州省遵义市中级人民法院作出（2015）遵市法刑一初字第2号刑事判决，认定杨政林犯故意伤害罪，判处有期徒刑十五年（刑期自2014年8月8日起至2029年8月7日止），剥夺政治权利五年。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判决发生法律效力后2015年3月17日交付贵州省遵义监狱执行。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9日经贵州省遵义市中级人民法院裁定减去有期徒刑九个月，剥夺政治权利五年不变；2020年3月10日经贵州省遵义市中级人民法院裁定减去有期徒刑九个月，剥夺政治权利五年不变；2022年11月24日经贵州省遵义市中级人民法院裁定减去有期徒刑七个月，剥夺政治权利五年不变。刑期2014年8月8日至2027年7月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一、认罪悔罪方面：罪犯杨政林在服刑期间，能服从法院判决，认罪悔罪。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五、履行财产性判项方面：无；狱内月均消费204.75元，狱内账户余额8238.37元。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6月至2021年11月获表扬和物质奖励1次；2021年12月至2022年4月获1个表扬；2022年5月至2022年9月获1个表扬；2022年10月至2023年3月获表扬和物质奖励1次；2023年4月至2023年8月获1个表扬；2023年9月至2024年1月获表扬和物质奖励1次；获得共6个表扬、3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经审查，我院认为：罪犯杨政林符合提请减刑条件。未发现提请减刑建议不当，同意将案件交监狱长办公会审核。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综上所述，罪犯杨政林自上次裁定减刑以来，能认真遵守监规，接受教育改造，确有悔改表现。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政林提请减去有期徒刑八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8C552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2025-03-07T01:54:24Z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