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(2025)遵监提请减字第127号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罪犯余思能，男，汉族，小学文化，贵州省金沙县人。现在贵州省遵义监狱服刑。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11月5日，贵州省毕节市中级人民法院作出(2014)黔毕中刑初字第81号刑事判决，认定罪犯余思能犯故意杀人罪，判处死刑，剥夺政治权利终身，附带民事赔偿人民币五万元。该犯不服，提出上诉。2015年6月7日，贵州省高级人民法院作出（2014）黔高刑三终字第352号刑事判决，认定罪犯余思能犯故意杀人罪，判处死刑、缓期二年执行，剥夺政治权利终身，民事赔偿人民币五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判决发生法律效力后于2015年7月16日交付贵州省遵义监狱执行。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25日经贵州省高级人民法院裁定减为无期徒刑，剥夺政治权利终身；2022年1月28日经贵州省高级人民法院裁定减为有期徒刑二十五年，剥夺政治权利改为十年。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一、认罪悔罪方面：罪犯余思能在服刑期间，能服从法院判决，认罪悔罪。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二、遵守法律法规及监规方面：罪犯余思能自上次受违规处罚以来，能认真遵守法律法规及监规纪律，服从管教。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五、履行财产性判项方面：民事赔偿人民币五万元(未履行)；狱内月均消费：96.42元，狱内账户余额：324.66元。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扣分及违规情况：该犯2024年5月1日、5月5日、5月9日发现其他罪犯使用违禁品时知情不报，共计三次，分别被扣1分，共计扣3分。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从严情形：因犯故意杀人罪被判处死刑，缓期二年执行；财产性判项未履行。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经审查，我院认为：罪犯余思能符合提请减刑条件。未发现提请减刑建议不当，同意将案件交监狱长办公会审核。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综上所述，罪犯余思能自上次裁定减刑以来，能认真遵守监规，接受教育改造，确有悔改表现。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余思能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0046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2025-03-07T01:59:27Z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