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罪犯朱洪游，男，仡佬族，初中文化，贵州省仁怀市人。现在贵州省遵义监狱服刑。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4日，贵州省遵义市中级人民法院作出（2014）遵市法刑一初字第80号刑事附带民事判决，认定罪犯朱洪游犯故意伤害罪，判处无期徒刑，剥夺政治权利终身，附带民事赔偿人民币118353.3元。该犯不服，提出上诉。2015年4月1日，贵州省高级人民法院作出（2015）黔高刑三终字第68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遵义市中级人民法院裁定减为有期徒刑二十二年，剥夺政治权利十年；2022年4月12日经贵州省遵义市中级人民法院裁定减去有期徒刑七个月，剥夺政治权利十年。刑期2018年12月10日至2040年5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一、认罪悔罪方面：罪犯朱洪游在服刑期间，能服从法院判决，认罪悔罪。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二、遵守法律法规及监规方面：罪犯朱洪游在服刑期间，认真遵守法律法规及监规纪律，服从管教。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五、履行财产性判项方面：附带民事赔偿人民币118353.3元(已全部履行)；狱内月均消费：246元，狱内账户余额：2088元。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10月获1个表扬；2021年11月至2022年4月获1个表扬；2022年5月至2022年10月获1个表扬；2022年11月至2023年4月获1个表扬；2023年5月至2023年10月获1个表扬；2023年11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经审查，我院认为：罪犯朱洪游符合提请减刑条件。未发现提请减刑建议不当，同意将案件交监狱长办公会审核。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综上所述，罪犯朱洪游自上次裁定减刑以来，能认真遵守监规，接受教育改造，确有悔改表现。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朱洪游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AD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