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罪犯常开领，男，汉族，初中文化，云南省镇雄县人。现在贵州省遵义监狱服刑。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11月28日，贵州省毕节市中级人民法院作出（2016）黔05刑初193号刑事判决，认定常开领犯运输毒品罪，判处有期徒刑十五年，剥夺政治权利三年，并处没收个人财产4万元。刑期自2016年4月24日起至2031年4月23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判决发生法律效力后于2017年3月17日交付贵州省遵义监狱执行。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八个月，剥夺政治权利三年；2022年11月24日经贵州省遵义市中级人民法院裁定减去有期徒刑六个月，剥夺政治权利三年。刑期2016年4月24日至2030年2月23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一、认罪悔罪方面：罪犯常开领在服刑期间，能服从法院判决，认罪悔罪。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二、遵守法律法规及监规方面：罪犯常开领在服刑期间，认真遵守法律法规及监规纪律，服从管教。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五、履行财产性判项方面：没收个人财产4万元，上次减刑已履行3550元。月均消费239.09元，狱内账户余额1752.81元。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4月获1个表扬；2022年5月至2022年10月获1个表扬；2022年11月至2023年3月获1个表扬；2023年4月至2023年9月获1个表扬；2023年10月至2024年3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从严情形：没收个人财产4万元，上次减刑已履行3550元。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经审查，我院认为：罪犯常开领符合提请减刑条件。未发现提请减刑建议不当，同意将案件交监狱长办公会审核。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综上所述，罪犯常开领自上次裁定减刑以来，能认真遵守监规，接受教育改造，确有悔改表现。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常开领提请减去有期徒刑七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110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2025-03-07T02:02:39Z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