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罪犯李其波，男，汉族，初中文化，贵州省绥阳县人。现在贵州省遵义监狱服刑。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29日，贵州省遵义市中级人民法院作出（2014）遵市法刑三初字第1号刑事判决，认定李其波犯运输毒品罪，判处无期徒刑，剥夺政治权利终身，并处没收个人财产人民币十万元；犯罪所得10500元予以追缴。该犯及同案犯不服，提出上诉。贵州省高级人民法院于2015年7月9日作出（2014）黔高刑一终字第158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判决发生法律效力后于2016年4月14日交付贵州省遵义监狱执行。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高级人民法院裁定减为有期徒刑二十二年，剥夺政治权利改为十年；2021年11月19日经贵州省遵义市中级人民法院裁定减去有期徒刑五个月，剥夺政治权利十年不变。刑期2018年12月10日至2040年7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一、认罪悔罪方面：罪犯李其波在服刑期间，能服从法院判决，认罪悔罪。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二、遵守法律法规及监规方面：罪犯李其波在服刑期间，认真遵守法律法规及监规纪律，服从管教。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五、履行财产性判项方面：没收财产十万元（2021年减刑裁定载明已执行4300元，本次履行600元，共计履行4900元）；犯罪所得10500元予以追缴（未追缴）。月均消费134.03元；狱内账户余额354.67元。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罪犯李其波符合提请减刑条件。未发现提请减刑建议不当，同意将案件交监狱长办公会审核。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综上所述，罪犯李其波自上次裁定减刑以来，能认真遵守监规，接受教育改造，确有悔改表现。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其波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0C2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2025-03-07T01:09:46Z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