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(2024)遵监提请减字第366号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罪犯邹福彬，男，汉族，小学文化，贵州省遵义市播州区人。现在贵州省遵义监狱服刑。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7月7日，贵州省遵义市中级人民法院作出（2014）遵市法刑一初字23号刑事判决，认定邹福彬犯故意杀人罪，判处死刑，缓期二年执行；犯故意毁坏财物罪，判处有期徒刑三年，决定执行死刑，缓期二年执行，剥夺政治权利终身，同案三人共同赔偿附带民事诉讼原告人经济损失人民币10万元。附带民事诉讼原告人不服，提出上诉。2014年12月10日，贵州省高级人民法院作出（2014）黔高刑一终字第192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9月12日经贵州省高级人民法院裁定减为无期徒刑，剥夺政治权利终身；2022年1月28日经贵州省高级人民法院裁定减为有期徒刑二十五年，剥夺政治权利改为十年刑期2022年1月28日至2047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一、认罪悔罪方面：罪犯邹福彬在服刑期间，能服从法院判决，认罪悔罪。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二、遵守法律法规及监规方面：罪犯邹福彬在服刑期间，认真遵守法律法规及监规纪律，服从管教。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五、履行财产性判项方面：三人共同赔偿附带民事诉讼原告人经济损失人民币10万元（已履行500元）。狱内月均消费：189.76元，账户余额：1091.67元。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11月获1个表扬；2020年12月至2021年4月获1个表扬；2021年5月至2021年9月获1个表扬；2021年10月至2022年2月获1个表扬；2022年3月至2022年8月获1个表扬；2022年9月至2023年1月获1个表扬；2023年2月至2023年6月获1个表扬；2023年7月至2023年12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从严情形：数罪从严；罪名从严；财产性判项未履行完。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罪犯邹福彬符合提请减刑条件。未发现提请减刑建议不当，同意将案件交监狱长办公会审核。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综上所述，罪犯邹福彬自上次裁定减刑以来，能认真遵守监规，接受教育改造，确有悔改表现。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邹福彬提请减去有期徒刑五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E380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2025-03-07T01:11:45Z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