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(2024)遵监提请减字第375号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罪犯曾建强，男，汉族，初中文化，贵州省金沙县人。现在贵州省遵义监狱服刑。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2016年12月23日，贵州省毕节市中级人民法院作出（2016）黔05刑初209号刑事判决，认定曾建强犯贩卖、运输毒品罪，判处无期徒刑，剥夺政治权利终身，并处没收个人财产人民币50000.00元。该犯不服，提出上诉。2017年3月6日，贵州省高级人民法院作出（2017）黔刑终字第99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判决发生法律效力后于2017年6月13日交付贵州省遵义监狱执行。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服刑期间执行刑期变动情况：2022年1月28日经贵州省高级人民法院裁定减为有期徒刑二十二年，剥夺政治权利十年。刑期2022年1月28日至2044年1月27日。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一、认罪悔罪方面：罪犯曾建强在服刑期间，能服从法院判决，认罪悔罪。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二、遵守法律法规及监规方面：罪犯曾建强在服刑期间，认真遵守法律法规及监规纪律，服从管教。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五、履行财产性判项方面：没收个人财产人民币50000元，上次减刑已履行2000元，有终结执行本次裁定。狱内月均消费129.28元，狱内账户余额1420.26元。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7月至2020年12月获1个表扬；2021年1月至2021年5月获1个表扬；2021年6月至2021年11月获1个表扬；2021年12月至2022年5月获1个表扬；2022年6月至2022年11月获1个表扬；2022年12月至2023年4月获1个表扬；2023年5月至2023年10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从严情形：毒品再犯；财产性判项未履行完毕。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经审查，我院认为：罪犯曾建强符合提请减刑条件。未发现提请减刑建议不当，同意将案件交监狱长办公会审核。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综上所述，罪犯曾建强自上次裁定减刑以来，能认真遵守监规，接受教育改造，确有悔改表现。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曾建强提请减去有期徒刑六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F7977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2025-03-07T01:13:18Z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