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(2024)遵监提请减字第384号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罪犯汤伦生，男，汉族，小学文化，贵州省遵义市汇川区人。现在贵州省遵义监狱服刑。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11月30日，贵州省遵义市中级人民法院作出（2017）黔03刑初134号刑事判决，认定汤伦生犯故意伤害罪，判处无期徒刑，剥夺政治权利终身，民事赔偿人民币50000.00元。该犯不服，提出上诉。2018年3月13日，贵州省高级人民法院作出（2018）黔刑终字第47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判决发生法律效力后于2018年4月9日交付贵州省遵义监狱执行。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服刑期间执行刑期变动情况：2021年12月27日经贵州省高级人民法院裁定减为有期徒刑二十二年，剥夺政治权利十年，民事赔偿人民币50000.00元。刑期2021年12月27日至2043年12月26日。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一、认罪悔罪方面：罪犯汤伦生在服刑期间，能服从法院判决，认罪悔罪。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二、遵守法律法规及监规方面：罪犯汤伦生在服刑期间，认真遵守法律法规及监规纪律，服从管教。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五、履行财产性判项方面：民事赔偿人民币50000元，未履行。狱内月均消费93.93元，狱内账户余额2127.4元。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5月至2020年10月获1个表扬；2020年11月至2021年4月获1个表扬；2021年5月至2021年10月获1个表扬；2021年11月至2022年4月获1个表扬；2022年5月至2022年10月获表扬和物质奖励1次；2022年11月至2023年4月获表扬和物质奖励1次；2023年5月至2023年9月获表扬和物质奖励1次；2023年10月至2024年3月获1个表扬；获得共8个表扬、3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经审查，我院认为：罪犯汤伦生符合提请减刑条件。未发现提请减刑建议不当，同意将案件交监狱长办公会审核。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综上所述，罪犯汤伦生自上次裁定减刑以来，能认真遵守监规，接受教育改造，确有悔改表现。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汤伦生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563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2025-03-07T01:14:38Z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