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(2024)遵监提请减字第386号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罪犯赵仕灿，男，汉族，初中文化，贵州省仁怀市人。现在贵州省遵义监狱服刑。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9日，贵州省遵义市中级人民法院作出（2014）遵市法刑一初字第49字刑事判决，认定赵仕灿犯故意杀人罪，判处死刑、缓期二年执行（死刑考验期自2015年1月8日起至2017年1月7日止），剥夺政治权利终身，民事赔偿人民币40000.00元。原告上诉。2014年12月3日，贵州省高级人民法院作出（2014）黔高刑一终字第259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9月12日经贵州省高级人民法院裁定减为无期徒刑，剥夺政治权利终身；2022年1月28日经贵州省高级人民法院裁定减为有期徒刑二十五年，剥夺政治权利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一、认罪悔罪方面：罪犯赵仕灿在服刑期间，能服从法院判决，认罪悔罪。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二、遵守法律法规及监规方面：罪犯赵仕灿在服刑期间，认真遵守法律法规及监规纪律，服从管教。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五、履行财产性判项方面：民事赔偿人民币40000元，已全部履行。狱内月均消费233.48元，狱内账户余额2503元。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4月至2020年9月获1个表扬；2020年10月至2021年3月获1个表扬；2021年4月至2021年9月获1个表扬；2021年10月至2022年2月获1个表扬；2022年3月至2022年8月获1个表扬；2022年9月至2023年2月获1个表扬；2023年3月至2023年8月获1个表扬；2023年9月至2024年1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经审查，我院认为：罪犯赵仕灿符合提请减刑条件。未发现提请减刑建议不当，同意将案件交监狱长办公会审核。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综上所述，罪犯赵仕灿自上次裁定减刑以来，能认真遵守监规，接受教育改造，确有悔改表现。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仕灿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630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2025-03-07T01:14:57Z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