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罪犯崔争鸣，男，土家族，初中文化，贵州省沿河土家族自治县人。现在贵州省遵义监狱服刑。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15日，贵州省铜仁市中级人民法院作出（2012）铜中刑初字第71号刑事判决，认定崔争鸣犯故意伤害,寻衅滋事罪，判处有期徒刑十七年（刑期自2011年5月10日起至2028年5月9日止），剥夺政治权利五年，共同民事赔偿人民币50000.00元。该犯及同案犯不服，提出上诉。2014年9月25日，贵州省高级人民法院作出（2014）黔高刑三终字第55号刑事判决，维持对该犯的定罪量刑，同案犯改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判决发生法律效力后于2014年10月13日交付贵州省遵义监狱执行。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，剥夺政治权利五年，民事赔偿人民币45000.00元；2019年11月12日减刑八个月；2022年6月29日减刑七个月。刑期2011年5月10日至2026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一、认罪悔罪方面：罪犯崔争鸣在服刑期间，能服从法院判决，认罪悔罪。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二、遵守法律法规及监规方面：罪犯崔争鸣在服刑期间，认真遵守法律法规及监规纪律，服从管教。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五、履行财产性判项方面：民事赔偿人民币50000元，已终结执行裁定载明已全部履行。狱内月均消费536.17元，狱内账户余额10753.7元。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经审查，我院认为：罪犯崔争鸣符合提请减刑条件。未发现提请减刑建议不当，同意将案件交监狱长办公会审核。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综上所述，罪犯崔争鸣自上次裁定减刑以来，能认真遵守监规，接受教育改造，确有悔改表现。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崔争鸣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CC1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2025-03-07T01:15:34Z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