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罪犯彭波，男，汉族，初中文化，贵州省正安县人。现在贵州省遵义监狱服刑。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5月16日，贵州省遵义市中级人民法院作出（2018）黔03刑初28号刑事判决，认定彭波犯故意伤害罪，判处无期徒刑，剥夺政治权利终身，民事赔偿人民币326952.72元。该犯不服，提出上诉。2018年7月31日，贵州省高级人民法院作出（2017）黔刑终字第269号刑事判决，认定彭波犯故意伤害罪，判处有期徒刑十五年（刑期自2017年10月22日起至2032年10月21日止），剥夺政治权利五年，民事赔偿人民币326952.72元，改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判决发生法律效力后于2018年9月14日交付贵州省遵义监狱执行。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服刑期间执行刑期变动情况：2022年6月29日经贵州省遵义市中级人民法院裁定减去有期徒刑五个月，剥夺政治权利五年，民事赔偿人民币246952.72元（已履行1000元）。刑期2017年10月22日至2032年5月21日。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五、履行财产性判项方面：民事赔偿人民币326952.72元，已履行81000元。狱内月均消费211.00元，狱内账户余额1360.78元。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10月获1个表扬；2021年11月至2022年4月获表扬和物质奖励1次；2022年5月至2022年10月获1个表扬；2022年11月至2023年3月获1个表扬；2023年4月至2023年9月获1个表扬；2023年10月至2024年3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经审查，我院认为：罪犯彭波符合提请减刑条件。未发现提请减刑建议不当，同意将案件交监狱长办公会审核。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波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680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