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(2024)遵监提请减字第400号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罪犯管海军，男，汉族，初中文化，湖南省祁东县人。现在贵州省遵义监狱服刑。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9月8日，贵州省铜仁市中级人民法院作出（2016）黔06刑初45号刑事判决，认定管海军犯运输毒品罪，判处有期徒刑十五年（刑期自2015年11月30日起至2030年11月29日止），剥夺政治权利五年，没收个人财产人民币80000.00元。该犯不服，提出上诉。2016年12月5日，贵州省高级人民法院作出（2016）黔刑终字第564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判决发生法律效力后于2017年1月9日交付贵州省遵义监狱执行。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服刑期间执行刑期变动情况：2019年6月26日经贵州省遵义市中级人民法院裁定减去有期徒刑七个月；2022年6月29日减刑五个月。刑期2015年11月30日至2029年11月29日。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一、认罪悔罪方面：罪犯管海军在服刑期间，能服从法院判决，认罪悔罪。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二、遵守法律法规及监规方面：罪犯管海军在服刑期间，认真遵守法律法规及监规纪律，服从管教。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五、履行财产性判项方面：没收个人财产人民币80000元，上次减刑已履行2600元。狱内月均消费223.71元，狱内账户余额1026.18元。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2022年1月获1个表扬；2022年2月至2022年7月获1个表扬；2022年8月至2023年1月获1个表扬；2023年2月至2023年7月获1个表扬；2023年8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从严情形：财产性判项未完全履行。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经审查，我院认为：罪犯管海军符合提请减刑条件。未发现提请减刑建议不当，同意将案件交监狱长办公会审核。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综上所述，罪犯管海军自上次裁定减刑以来，能认真遵守监规，接受教育改造，确有悔改表现。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管海军提请减去有期徒刑七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E543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2025-03-07T01:16:58Z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