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罪犯冯仁光，男，土家族，初中文化，贵州省沿河土家族自治县人。现在贵州省遵义监狱服刑。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2015年3月17日，贵州省铜仁市中级人民法院作出（2015）铜中刑初字第8号刑事判决，认定冯仁光犯故意杀人罪，判处无期徒刑，剥夺政治权利终身。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判决发生法律效力后于2015年5月12日交付贵州省遵义监狱执行。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12月10日经贵州省高级人民法院裁定减为有期徒刑二十二年，剥夺政治权利改为十年；2021年11月19日经贵州省遵义市中级人民法院裁定减去有期徒刑六个月，剥夺政治权利十年不变。刑期2018年12月10日至2040年6月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一、认罪悔罪方面：罪犯冯仁光在服刑期间，能服从法院判决，认罪悔罪。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二、遵守法律法规及监规方面：罪犯冯仁光在服刑期间，基本遵守法律法规及监规纪律，服从管教。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四、劳动改造方面：2020年07月欠产扣分7.46分；2020年08月欠产扣分2.48分。该犯自上次欠产扣分以来，积极参加劳动，态度端正。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五、履行财产性判项方面：无，狱内月均消费73.47元，狱内账户余额362.49元。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扣分及违规情况：2020年07月欠产扣分7.46分；2020年08月欠产扣分2.48分。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从严情形：故意杀人犯（无期）。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经审查，我院认为：罪犯冯仁光符合提请减刑条件。未发现提请减刑建议不当，同意将案件交监狱长办公会审核。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综上所述，罪犯冯仁光自上次裁定减刑以来，能认真遵守监规，接受教育改造，确有悔改表现。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冯仁光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3F6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