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罪犯田邦华，男，汉族，初中文化，重庆市奉节县人。现在贵州省遵义监狱服刑。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8月13日，贵州省桐梓县人民法院作出（2018）黔0322刑初172号刑事判决，认定田邦华犯运输毒品罪，判处有期徒刑十五年，没收个人财产人民币50000.00元。该犯不服，提出上诉。2018年10月23日，贵州省遵义市中级人民法院作出（2018）黔03刑终字第584号刑事裁定，驳回上诉，维持原判，刑期自2018年3月16日起至2033年3月7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判决发生法律效力后于2018年11月15日交付贵州省遵义监狱执行。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服刑期间执行刑期变动情况：2022年6月29日经贵州省遵义市中级人民法院裁定减去有期徒刑四个月。刑期2018年3月16日至2032年11月7日。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邦华在2020年以原审事实错误、违反法定程序、量刑过重为由，向贵州省遵义市中级人民法院提起申诉，请求依法改判。2023年6月21日，贵州省遵义市中级人民法院作出（2023）黔03刑39号驳回申诉通知书，认定该犯申诉理由缺乏事实及法律依据，驳回申诉。该犯自接到驳回申诉通知书后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二、遵守法律法规及监规方面：罪犯田邦华在服刑期间，认真遵守法律法规及监规纪律，服从管教。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五、履行财产性判项方面：没收个人财产人民币50000元(未执行)狱内月均消费155.7元，狱内账户余额14。53元，刑释就业金527元。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8月获1个表扬；2022年9月至2023年1月获1个表扬；2023年2月至2023年7月获1个表扬；2023年8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从严情形：毒品再犯；累犯；没收个人财产5万元未履行。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经审查，我院认为：罪犯田邦华符合提请减刑条件。未发现提请减刑建议不当，同意将案件交监狱长办公会审核。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综上所述，罪犯田邦华自上次裁定减刑以来，能认真遵守监规，接受教育改造，确有悔改表现。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田邦华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80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