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罪犯李家银，男，汉族，初中文化，贵州省赤水市人。现在贵州省遵义监狱服刑。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2016年11月30日，贵州省遵义市中级人民法院作出（2016）黔03刑初字第103号刑事附带民事判决，认定罪犯李家银犯故意杀人罪，判处无期徒刑，剥夺政治权利终身，赔偿附带民事诉讼人180000元。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判决发生法律效力后于2017年2月17日交付贵州省遵义监狱执行。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服刑期间执行刑期变动情况：2021年12月27日经贵州省高级人民法院裁定减为有期徒刑二十二年，剥夺政治权利十年。刑期2021年12月27日至2043年12月26日。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三、教育改造方面：该犯能接受教育改造，积极参加思想、文化、职业技术教育，“三课”学习成绩合格。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五、履行财产性判项方面：附带民事赔偿180000元（未履行）。狱内月均消费：96.55元，狱内账户余额：104.54元。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5月至2020年10月获1个表扬；2020年11月至2021年4月获1个表扬；2021年5月至2021年10月获1个表扬；2021年11月至2022年4月获1个表扬；2022年5月至2022年10月获1个表扬；2022年11月至2023年4月获1个表扬；2023年5月至2023年10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经审查，我院认为：罪犯李家银符合提请减刑条件。未发现提请减刑建议不当，同意将案件交监狱长办公会审核。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综上所述，罪犯李家银自上次裁定减刑以来，能认真遵守监规，接受教育改造，确有悔改表现。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家银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245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