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罪犯赵庆强，男，汉族，小学文化，贵州省赤水市人。现在贵州省遵义监狱服刑。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12月5日，贵州省遵义市中级人民法院作出（2011）遵市法刑一初字第80号刑事判决书，认定罪犯赵庆强犯贩卖毒品罪，判处无期徒刑，剥夺政治权利终身，并处没收财产，犯非法买卖枪支罪，判处有期徒刑三年，决定执行无期徒刑，剥夺政治权利终身，并处没收财产。同案犯不服，提出上诉，2012年1月17日，贵州省高级人民法院作出（2012）黔高刑三终字第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判决发生法律效力后于2012年2月16日交付贵州省遵义监狱执行。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10月28日经贵州省高级人民法院裁定减为有期徒刑十八年一个月，剥夺政治权利改为七年；2021年11月19日经贵州省遵义市中级人民法院裁定减去有期徒刑四个月，剥夺政治权利七年及并处没收财产不变。刑期2014年10月28日至2032年7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五、履行财产性判项方面：没收财产（已执行1700元）。狱内月均消费：160.32元，狱内账户余额：2192.19元。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表扬和物质奖励1次；2022年4月至2022年9月获1个表扬；2022年10月至2023年3月获1个表扬；2023年4月至2023年9月获1个表扬；2023年10月至2024年3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从严情形：累犯；财产性判项未履行完毕；数罪从严。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经审查，我院认为：罪犯赵庆强符合提请减刑条件。未发现提请减刑建议不当，同意将案件交监狱长办公会审核。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综上所述，罪犯赵庆强自上次裁定减刑以来，能认真遵守监规，接受教育改造，确有悔改表现。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庆强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333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