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(2024)遵监提请减字第450号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罪犯李明，男，汉族，小学文化，贵州省仁怀市人。现在贵州省遵义监狱服刑。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5日，贵州省遵义市中级人民法院作出(2012)遵市法刑一初字第92号刑事附带民事判决，认定李明犯故意伤害罪，判处无期徒刑，剥夺政治权利终身，三人连带赔偿附带民事诉讼原告人经济损失8万元。该犯不服，提出上诉。2013年8月23日，贵州省高级人民法院作出（2013）黔高刑一终字第122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有期徒刑二十一年零六个月，剥夺政治权利八年；2018年12月6日经贵州省遵义市中级人民法院裁定减去有期徒刑九个月，剥夺政治权利八年；2021年11月19日经贵州省遵义市中级人民法院裁定减去有期徒刑八个月，剥夺政治权利八年。刑期2016年4月6日至2036年5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五、履行财产性判项方面：三人连带赔偿附带民事诉讼原告人经济损失8万元，2020年8月19日，贵州省仁怀市人民法院结案通知书载明已执行完毕。月均消费207.76元，狱内账户余额4497.27元。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明提请减去有期徒刑八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C12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2025-03-07T01:25:05Z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