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(2025)遵监提请减字第159号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罪犯李锦刚，男，汉族，小学文化，贵州省威宁彝族回族苗族自治县人，现在贵州省遵义监狱服刑。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11月5日，贵州省威宁彝族回族苗族自治县人民法院作出（2021）黔0526刑初字第278号刑事判决，认定罪犯李锦刚犯猥亵儿童罪，判处有期徒刑五年；犯故意伤害罪，判处有期徒刑二年；决定执行有期徒刑六年六个月（刑期自2021年4月9日起至2027年10月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判决发生法律效力后于2021年12月24日交付王武监狱执行；2022年1月24日调入遵义监狱服刑。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服刑期间执行刑期变动情况：无。（现刑期自2021年4月9日起至2027年10月8日止）。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一、认罪悔罪方面：罪犯李锦刚自入监以来，能服从法院判决，认罪悔罪。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二、遵守法律法规及监规方面：罪犯李锦刚自入监以来，认真遵守法律法规及监规纪律，服从管教。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三、教育改造方面：罪犯李锦刚自入监以来，能接受教育改造，积极参加思想、文化、职业技术教育，“三课”学习成绩合格。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四、劳动改造方面：罪犯李锦刚自入监以来，能积极参加劳动，按时完成劳动任务，表现较好。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五、履行财产性判项方面：无。狱内月均消费139.1元，狱内账户余额868.43元。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12月至2022年8月获1个表扬；2022年9月至2023年2月获表扬和物质奖励1次；2023年3月至2023年8月获表扬和物质奖励1次；2023年9月至2024年1月获表扬和物质奖励1次；2024年2月至2024年7月获表扬和物质奖励1次；获得共5个表扬、4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从严情形：猥亵儿童。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经审查，我院认为：罪犯李锦刚符合提请减刑条件。未发现提请减刑建议不当，同意将案件交监狱长办公会审核。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综上所述，罪犯李锦刚在服刑改造期间，能认真遵守监规，接受教育改造，确有悔改表现。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锦刚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C395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2025-05-12T06:55:16Z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