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罪犯熊登洪，男，汉族，小学文化，贵州省仁怀市人，现在贵州省遵义监狱服刑。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2014年11月18日，贵州省遵义市中级人民法院作出（2014）遵市法刑一初字第74号刑事判决，认定罪犯熊登洪犯故意伤害罪，判处有期徒刑十五年（刑期自2014年4月29日起至2029年4月28日止），剥夺政治权利五年。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判决发生法律效力后于2015年1月15日交付遵义监狱执行。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九个月，剥夺政治权利五年；2019年11月12日经贵州省遵义市中级人民法院裁定减去有期徒刑九个月，剥夺政治权利五年；2022年12月14日经贵州省遵义市中级人民法院裁定减去有期徒刑八个月，剥夺政治权利五年。（现刑期自2014年4月29日起至2027年2月28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一、认罪悔罪方面：罪犯熊登洪自上次减刑以来，能服从法院判决，认罪悔罪。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二、遵守法律法规及监规方面：罪犯熊登洪自上次减刑以来，认真遵守法律法规及监规纪律，服从管教。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三、教育改造方面：罪犯熊登洪自上次减刑以来，能接受教育改造，积极参加思想、文化、职业技术教育，“三课”学习成绩合格。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四、劳动改造方面：罪犯熊登洪自上次减刑以来，能积极参加劳动，劳动态度端正。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五、履行财产性判项方面：无。狱内月均消费367.65元，狱内账户余额1155.95元。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1个表扬；2021年12月至2022年5月获1个表扬；2022年6月至2022年11月获1个表扬；2022年12月至2023年5月获1个表扬；2023年6月至2023年11月获1个表扬；2023年12月至2024年5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经审查，我院认为：罪犯熊登洪符合提请减刑条件。未发现提请减刑建议不当，同意将案件交监狱长办公会审核。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综上所述，罪犯熊登洪自上次裁定减刑以来，能认真遵守监规，接受教育改造，确有悔改表现。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熊登洪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08C0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2025-05-12T07:02:02Z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