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罪犯田佳浪，男，土家族，初中文化，贵州省印江土家族苗族自治县人，现在贵州省遵义监狱服刑。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日，贵州省铜仁市中级人民法院作出（2016）黔06刑初字第76号刑事附带民事判决，认定罪犯田佳浪犯故意伤害罪，判处无期徒刑，剥夺政治权利终身；犯聚众斗殴罪，判处有期徒刑四年。合并执行无期徒刑，剥夺政治权利终身。该犯不服，提出上诉。2017年3月2日，贵州省高级人民法院作出（2017）黔刑终字第33号刑事附带民事判决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服刑期间执行刑期变动情况：2022年8月25日经贵州省高级人民法院裁定减为有期徒刑二十二年，剥夺政治权利十年。（现刑期自2022年8月25日起至2044年8月24日止）。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一、认罪悔罪方面：罪犯田佳浪自上次减刑以来，能服从法院判决，认罪悔罪。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二、遵守法律法规及监规方面：罪犯田佳浪自上次减刑以来，认真遵守法律法规及监规纪律，服从管教。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三、教育改造方面：罪犯田佳浪自上次减刑以来，能接受教育改造，积极参加思想、文化、职业技术教育，“三课”学习成绩合格。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四、劳动改造方面：罪犯田佳浪自上次减刑以来，能积极参加劳动，按时完成劳动任务，表现较好。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五、履行财产性判项方面：无。狱内月均消费254.37元，狱内账户余额2183.42元。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表扬和物质奖励1次；2022年6月至2022年11月获表扬和物质奖励1次；2022年12月至2023年4月获表扬和物质奖励1次；2023年5月至2023年10月获表扬和物质奖励1次；2023年11月至2024年4月获表扬和物质奖励1次；2024年5月至2024年9月获表扬和物质奖励1次；获得共7个表扬、6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经审查，我院认为：罪犯田佳浪符合提请减刑条件。未发现提请减刑建议不当，同意将案件交监狱长办公会审核。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综上所述，罪犯田佳浪自上次裁定减刑以来，能认真遵守监规，接受教育改造，确有悔改表现。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佳浪提请减去有期徒刑八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3D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