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罪犯刘诵，男，汉族，初中文化，贵州省仁怀市人，现在贵州省遵义监狱服刑。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13日，贵州省遵义市中级人民法院作出（2013）遵市法少刑初字第18号刑事判决，认定刘诵犯故意伤害罪，判处无期徒刑，剥夺政治权利终身。该犯不服，提出上诉。2014年6月11日，贵州省高级人民法院作出（2014）黔高刑一终字第83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七个月，剥夺政治权利八年；2019年6月26日经贵州省遵义市中级人民法院裁定减去有期徒刑九个月；2022年6月1日经贵州省遵义市中级人民法院裁定减去有期徒刑七个月。（现刑期自2016年12月26日起至2037年3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二、遵守法律法规及监规方面：罪犯刘诵在服刑期间，认真遵守法律法规及监规纪律，服从管教。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五、履行财产性判项方面：无财产性判项。月均消费347.24元，狱内账户余额4631.65元。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6月获1个表扬；2021年7月至2021年11月获1个表扬；2021年12月至2022年5月获1个表扬；2022年6月至2022年11月获1个表扬；2022年12月至2023年5月获1个表扬；2023年6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诵提请减去有期徒刑八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1262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2025-05-12T07:05:44Z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