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(2025)遵监提请减字第193号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罪犯梁正强，男，汉族，初中文化，贵州省桐梓县人，现在贵州省遵义监狱服刑。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2017年3月24日，贵州省遵义市中级人民法院作出（2017）黔03刑初字第34号刑事判决，认定梁正强犯故意伤害罪，判处有期徒刑十五年，剥夺政治权利五年。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判决发生法律效力后于2017年5月9日交付贵州省遵义监狱执行。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2019年8月27日经贵州省遵义市中级人民法院裁定减去有期徒刑九个月；2022年11月24日经贵州省遵义市中级人民法院裁定减去有期徒刑七个月，剥夺政治权利五年不变。（现刑期自2016年9月23日起至2030年5月22日止）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一、认罪悔罪方面：罪犯梁正强在服刑期间，能服从法院判决，认罪悔罪。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二、遵守法律法规及监规方面：罪犯梁正强在服刑期间，认真遵守法律法规及监规纪律，服从管教。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五、履行财产性判项方面：无财产性判项。月均消费157.23元，狱内账户余额676.78元。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2021年7月至2021年12月获1个表扬；2022年1月至2022年6月获1个表扬；2022年7月至2022年12月获1个表扬；2023年1月至2023年6月获1个表扬；2023年7月至2023年12月获1个表扬；2024年1月至2024年6月获1个表扬；获得共6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经审查，我院认为：罪犯梁正强符合提请减刑条件。未发现提请减刑建议不当，同意将案件交监狱长办公会审核。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综上所述，罪犯梁正强自上次裁定减刑以来，能认真遵守监规，接受教育改造，确有悔改表现。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梁正强提请减去有期徒刑八个月，剥夺政治权利五年不变，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2025年5月7日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9905B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Lohit Devanagar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2025-05-12T07:07:25Z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